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Nové dimenze v decentralizované architektuře pohonů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rozšiřuje svou nabídku pohonů o řadu servopohonů s integrovanými motory a krytím IP65. Systém pohonů ACOPOSmulti se vždy vyznačoval mimořádnou modularitou. Dalším logickým krokem proto bylo sloučení měničů s motory a vytvoření integrovaných servopohonů schopných přímo dodávat výkon všude tam, kde je jej třeba. Z konfigurovatelných modulů se tak staly snadno připojitelné mechatronické jednotky. Šetří se tím nejen cenné místo v rozváděči, ale i náklady na logistiku a uvádění do provozu.</w:t>
      </w:r>
    </w:p>
    <w:p>
      <w:pPr>
        <w:pStyle w:val="par"/>
        <w:ind w:left="0"/>
      </w:pPr>
      <w:r>
        <w:rPr/>
        <w:t xml:space="preserve">Tento nový systém integruje všechny důležité součásti, jako je motor, čidlo polohy (kodér), přesná převodovka a servopohon, do jedné mimořádně kompaktní jednotky. Servopohon ACOPOSmulti65m díky svému jednoduchému elektrickému připojení podporuje modulární koncepce strojů a umožňuje tak efektivně navrhovat optimální výrobní strategie. „Nový servopohon je pokračováním naší cesty k decentralizovanému řízení pohybu,“ vysvětluje Alois Holzleitner, vedoucí divize řízení pohybů společnosti B&amp;R. „Nyní nabízíme celé spektrum pohonů – od pohonů s variabilní frekvencí a víceosých servopohonů po decentralizované řešení – z jednoho zdroje.“</w:t>
      </w:r>
    </w:p>
    <w:p>
      <w:pPr>
        <w:pStyle w:val="par"/>
        <w:ind w:left="0"/>
      </w:pPr>
      <w:r>
        <w:rPr/>
        <w:t xml:space="preserve">Kombinace nejmodernější technologie IGBT a optimalizovaných typů motorů přináší uživatelům maximální výkon. Tři různé velikosti servopohonů pokrývají celé spektrum potřeb s krouticím momentem od 1,8 do 10,5 Nm a výkonem od 500 W do 2 kW. Pro aplikace vyžadující vyšší výkon lze použít volitelnou sestavu s ventilátorem a dosáhnout tak zvýšení výkonu až o 100 %.</w:t>
      </w:r>
    </w:p>
    <w:p>
      <w:pPr>
        <w:pStyle w:val="par"/>
        <w:ind w:left="0"/>
      </w:pPr>
      <w:r>
        <w:rPr>
          <w:b/>
        </w:rPr>
        <w:t xml:space="preserve">Úplná kompatibilita se systémy pohonů B&amp;R</w:t>
      </w:r>
    </w:p>
    <w:p>
      <w:pPr>
        <w:pStyle w:val="par"/>
        <w:ind w:left="0"/>
      </w:pPr>
      <w:r>
        <w:rPr/>
        <w:t xml:space="preserve">Řada ACOPOSmulti65m je plně kompatibilní se systémy pohonů ACOPOS. To umožňuje využít všechny nástroje a funkce dostupné v prostředí Automation Studio včetně vyvinutých aplikací. Nový servopohon lze použít v lineární nebo stromové topologii. Síťové propojení využívá standard POWERLINK.</w:t>
      </w:r>
    </w:p>
    <w:p>
      <w:pPr>
        <w:pStyle w:val="par"/>
        <w:ind w:left="0"/>
      </w:pPr>
      <w:r>
        <w:rPr/>
        <w:t xml:space="preserve">Servopohon je dále vybaven bezpečnostními funkcemi STO (bezpečné vypnutí krouticího momentu) a SS1 (sledované bezpečné zastavení provozu 1) v souladu se SIL 3 nebo PLe. V kombinaci s protokolem openSAFETY lze použít další bezpečnostní funkce, jako jsou SLS, SOS, SDI, SLP a mnohé další, které jsou integrální součástí modelu ACOPOSmulti65m s technologií SafeMC.</w:t>
      </w:r>
    </w:p>
    <w:p/>
    <w:bookmarkStart w:id="8" w:name="_XREFN100B2"/>
    <w:bookmarkStart w:id="9" w:name="_XREFN100B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3841"/>
            <wp:effectExtent b="0" l="0" r="0" t="0"/>
            <wp:docPr id="1" name="BuR_ACOPOSmulti65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COPOSmulti65m"/>
                    <pic:cNvPicPr/>
                  </pic:nvPicPr>
                  <pic:blipFill>
                    <a:blip xmlns:r="http://schemas.openxmlformats.org/officeDocument/2006/relationships" cstate="print" r:embed="N1038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Standardní součástí nového servopohonu ACOPOSmulti65m s integrovaným motorem je bezpečné řízení pohybu (SMC – Safe Motion Control).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0" w:type="default"/>
      <w:footerReference xmlns:r="http://schemas.openxmlformats.org/officeDocument/2006/relationships" r:id="N104A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0" Target="header1.xml" Type="http://schemas.openxmlformats.org/officeDocument/2006/relationships/header"/><Relationship Id="N104A4" Target="footer1.xml" Type="http://schemas.openxmlformats.org/officeDocument/2006/relationships/footer"/><Relationship Id="N1038F" Target="media/N1038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7" Target="media/N1047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