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entraînements décentralisés prennent une nouvelle dimension</w:t>
      </w:r>
    </w:p>
    <w:p>
      <w:pPr>
        <w:pStyle w:val="par-first"/>
        <w:ind w:left="0"/>
        <w:jc w:val="left"/>
      </w:pPr>
      <w:r>
        <w:rPr>
          <w:i/>
          <w:i/>
        </w:rPr>
        <w:t xml:space="preserve">B&amp;R étend sa ligne de produits d'entraînement avec une gamme de servovariateurs intégrés au moteur et dotés d'une protection IP65. Après le système ACOPOSmulti ultra-modulaire, il était logique de fusionner variateurs et moteurs pour créer des servo-actionneurs délivrant leur puissance au plus près du process. Dans une architecture d’automatismes, ce qui constituait des modules configurables devient ainsi des unités mécatroniques qui s’ajoutent et se connectent facilement. Ceci permet non seulement de gagner un espace précieux dans l’armoire électrique, mais aussi de réduire les coûts liés à la logistique et à la mise en service.</w:t>
      </w:r>
    </w:p>
    <w:p>
      <w:pPr>
        <w:pStyle w:val="par"/>
        <w:ind w:left="0"/>
      </w:pPr>
      <w:r>
        <w:rPr/>
        <w:t xml:space="preserve">Ce nouveau système unifie au sein d’une seule et même unité compacte tous les composants essentiels que sont le moteur, le capteur de position (codeur), le réducteur de précision et le servo-variateur. Sa simplicité de connexion facilite la mise en œuvre de machines de conception modulaire, et donc l’élaboration de stratégies de fabrication efficaces. « Avec le nouveau servo-actionneur, nous continuons de suivre la voie du motion control décentralisé », explique Alois Holzleitner, Business Unit Manager of Motion chez B&amp;R. « Nous proposons maintenant une gamme complète de produits d’entraînement, depuis les variateurs de fréquence et servo-variateurs multi-axes jusqu’aux solutions d’entraînement décentralisées. »</w:t>
      </w:r>
    </w:p>
    <w:p>
      <w:pPr>
        <w:pStyle w:val="par"/>
        <w:ind w:left="0"/>
      </w:pPr>
      <w:r>
        <w:rPr/>
        <w:t xml:space="preserve">En combinant la toute dernière technologie IGBT et des moteurs optimisés, les ACOPOSmulti65m maximisent les performances. Ils se déclinent en trois tailles différentes. Avec un couple de 1,8 à 10,5 Nm et une puissance de 500 W à 2 kW, ils couvrent un large éventail de besoins. Pour les applications exigeant plus de puissance, un module optionnel de ventilation peut être ajouté pour obtenir un gain de performance allant jusqu’à 100%.</w:t>
      </w:r>
    </w:p>
    <w:p>
      <w:pPr>
        <w:pStyle w:val="par"/>
        <w:ind w:left="0"/>
      </w:pPr>
      <w:r>
        <w:rPr>
          <w:b/>
        </w:rPr>
        <w:t xml:space="preserve">Compatibilité sans restrictions avec les systèmes d’entraînement B&amp;R</w:t>
      </w:r>
    </w:p>
    <w:p>
      <w:pPr>
        <w:pStyle w:val="par"/>
        <w:ind w:left="0"/>
      </w:pPr>
      <w:r>
        <w:rPr/>
        <w:t xml:space="preserve">L’ACOPOSmotor est pleinement compatible avec tous les produits d’entraînement de la famille ACOPOS. Tous les outils d’Automation Studio sont également fonctionnels avec ce nouveau produit, de même que les applications développées sous Automation Studio. Concernant la topologie, le nouveau servo-actionneur s’utilise aussi bien dans les structures en ligne que celles en arbre. La mise en réseau s’effectue via POWERLINK..</w:t>
      </w:r>
    </w:p>
    <w:p>
      <w:pPr>
        <w:pStyle w:val="par"/>
        <w:ind w:left="0"/>
      </w:pPr>
      <w:r>
        <w:rPr/>
        <w:t xml:space="preserve">Le servo-actionneur de B&amp;R dispose de manière standard d’un STO (Safe Torque) et d’un SS1 selon SIL 3 ou PLe. D’autres fonctions de sécurité standard comme SLS, SOS, SDI, SLP etc., utilisées en combinaison avec openSAFETY, font également partie intégrante de l’ACOPOSmotor SafeMC.</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Le Safe Motion Control est une fonctionnalité standard dans le nouveau servo-actionneur ACOPOSmotor intégré au moteur.</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