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Novas dimensões na arquitetura de unidade descentralizada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expandindo sua linha de unidades com uma série de servo-acionamentos montados no motor com proteção IP65. O ACOPOSmulti sempre foi extremamente modular, e foi o próximo passo lógico para mesclar inversores com o motor para criar servo atuadores que podem fornecer energia diretamente onde é necessário. Os módulos configuráveis tornam-se assim unidades mecatrônicas fáceis de conectar. Isso não só economiza espaço valioso no gabinete de controle, mas também reduz os custos de logística e comissionamento. </w:t>
      </w:r>
    </w:p>
    <w:p>
      <w:pPr>
        <w:pStyle w:val="par"/>
        <w:ind w:left="0"/>
      </w:pPr>
      <w:r>
        <w:rPr/>
        <w:t xml:space="preserve">Este novo sistema une todos os componentes importantes, como o motor, sensor de posicionamento (codificador), caixa de engrenagens de precisão e servo-drive em uma unidade muito compacta. Graças à conexão elétrica simples, o ACOPOSmulti65m suporta a implementação de conceitos de máquinas modulares, possibilitando assim o desenvolvimento eficiente de estratégias de fabricação otimizadas. "Com o novo servo atuador, continuamos no caminho do controle de movimento descentralizado", explica Alois Holzleitner, gerente da unidade de negócios da B&amp;R Motion. "Agora oferecemos todo o espectro de acionamento - de inversores de freqüência e servo drives multi-eixo para soluções de unidade descentralizadas - tudo a partir de uma única fonte".  </w:t>
      </w:r>
    </w:p>
    <w:p>
      <w:pPr>
        <w:pStyle w:val="par"/>
        <w:ind w:left="0"/>
      </w:pPr>
      <w:r>
        <w:rPr/>
        <w:t xml:space="preserve">Ao combinar a tecnologia IGBT mais recente e os tipos de motor otimizados, os usuários aproveitam o desempenho máximo resultante. Com três tamanhos diferentes, os servo atuadores cobrem todo o espectro, com uma faixa de torque de 1,8 a 10,5 Nm e uma potência de 500 W a 2 kW. Para aplicações que exigem mais energia, um conjunto de ventilador opcional pode ser adaptado para um aumento de desempenho de até 100%.  </w:t>
      </w:r>
    </w:p>
    <w:p>
      <w:pPr>
        <w:pStyle w:val="par"/>
        <w:ind w:left="0"/>
      </w:pPr>
      <w:r>
        <w:rPr>
          <w:b/>
        </w:rPr>
        <w:t xml:space="preserve">100% de compatibilidade com sistemas de acionamento B&amp;R.</w:t>
      </w:r>
    </w:p>
    <w:p>
      <w:pPr>
        <w:pStyle w:val="par"/>
        <w:ind w:left="0"/>
      </w:pPr>
      <w:r>
        <w:rPr/>
        <w:t xml:space="preserve">O ACOPOSmulti65m é totalmente compatível com toda a série de unidades ACOPOS. Como resultado, é possível utilizar todas as ferramentas e recursos disponíveis no Automation Studio, bem como aplicativos criados no mesmo. No que diz respeito à topologia, o novo servo atuador pode ser empregado em uma estrutura de linha ou de árvore. A rede ocorre com o POWERLINK.  </w:t>
      </w:r>
    </w:p>
    <w:p>
      <w:pPr>
        <w:pStyle w:val="par"/>
        <w:ind w:left="0"/>
      </w:pPr>
      <w:r>
        <w:rPr/>
        <w:t xml:space="preserve">Além disso, vem equipado com as funções de segurança STO (Safe Torque Off) e SS1 de acordo com SIL 3 ou PLe. Funções de segurança adicionais como SLS, SOS, SDI, SLP e muito mais podem ser usadas em combinação com openSAFETY e são um componente integral do ACOPOSmotor com SafeMOTION.</w:t>
      </w:r>
    </w:p>
    <w:p/>
    <w:bookmarkStart w:id="8" w:name="_XREFN100B2"/>
    <w:bookmarkStart w:id="9" w:name="_XREFN100B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3841"/>
            <wp:effectExtent b="0" l="0" r="0" t="0"/>
            <wp:docPr id="1" name="BuR_ACOPOSmulti6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ACOPOSmulti65m"/>
                    <pic:cNvPicPr/>
                  </pic:nvPicPr>
                  <pic:blipFill>
                    <a:blip xmlns:r="http://schemas.openxmlformats.org/officeDocument/2006/relationships" cstate="print" r:embed="N1038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controle de movimento seguro vem de série no novo servo atuador ACOPOSmulti65m integrado ao motor.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0" w:type="default"/>
      <w:footerReference xmlns:r="http://schemas.openxmlformats.org/officeDocument/2006/relationships" r:id="N104A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0" Target="header1.xml" Type="http://schemas.openxmlformats.org/officeDocument/2006/relationships/header"/><Relationship Id="N104A4" Target="footer1.xml" Type="http://schemas.openxmlformats.org/officeDocument/2006/relationships/footer"/><Relationship Id="N1038F" Target="media/N1038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7" Target="media/N1047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