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горизонты децентрализованной архитектуры приводов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расширяет ассортимент приводов серией сервоприводов со встроенным двигателем и защитой IP65. ACOPOSmulti всегда был в высшей степени модульным, и следующим логическим шагом стало слияние инвертора и двигателя, позволяющее создать сервоактуаторы, которые могут доставлять мощность непосредственно туда, где она необходима. Конфигурируемые модули в результате стали простыми в подключении мехатронными устройствами. Это не только сохраняет пространство в шкафу управления, но также сокращает затраты на логистику и ввод в эксплуатацию.</w:t>
      </w:r>
    </w:p>
    <w:p>
      <w:pPr>
        <w:pStyle w:val="par"/>
        <w:ind w:left="0"/>
      </w:pPr>
      <w:r>
        <w:rPr/>
        <w:t xml:space="preserve">Эта новая система объединяет все важные компоненты, такие как двигатель, датчик положения (энкодер), коробку передач и сервопривод, в одно сверхкомпактное устройство. Благодаря простому электрическому подключению ACOPOSmulti65m позволяет реализовывать эффективные концепции модульных машин. "Новый сервоактуатор является очередной ступенькой в нашей дороге к децентрализованному управлению движением, - объясняет Алоиз Хольцляйтнер, руководитель департамента управления движением компании B&amp;R. - Сейчас мы предлагаем полный спектр приводов - от различных преобразователей частоты и многоосевых сервоприводов до децентрализованных приводных решений. Благодаря этому вы можете получить систему управления движением целиком от одного поставщика."</w:t>
      </w:r>
    </w:p>
    <w:p>
      <w:pPr>
        <w:pStyle w:val="par"/>
        <w:ind w:left="0"/>
      </w:pPr>
      <w:r>
        <w:rPr/>
        <w:t xml:space="preserve">Пользователи выигрывают от сочетания новейшей технологии IGBT и оптимальных типов двигателей, которое ведет к максимальной производительности. Сервоактуаторы в 3-х различных типоразмерах покрывают широкий спектр крутящего момента от 1.8 до 10.5 Нм и мощности от 500 Вт до 2 кВт. Для проектов, требующих больше мощности, может быть использован дополнительный вентиляторный комплект, увеличивающий производительность на величину до 100%.</w:t>
      </w:r>
    </w:p>
    <w:p>
      <w:pPr>
        <w:pStyle w:val="par"/>
        <w:ind w:left="0"/>
      </w:pPr>
      <w:r>
        <w:rPr>
          <w:b/>
        </w:rPr>
        <w:t xml:space="preserve">100% совместимость с проводными системами B&amp;R</w:t>
      </w:r>
    </w:p>
    <w:p>
      <w:pPr>
        <w:pStyle w:val="par"/>
        <w:ind w:left="0"/>
      </w:pPr>
      <w:r>
        <w:rPr/>
        <w:t xml:space="preserve">ACOPOSmulti65m полностью совместим с приводами серии ACOPOS. В результате становится возможным использование всех инструментов и возможностей Automation Studio. С учетом топологии новый сервоактуатор может быть включен в линейную или древовидную топологию. Сеть организуется посредством протокола POWERLINK. </w:t>
      </w:r>
    </w:p>
    <w:p>
      <w:pPr>
        <w:pStyle w:val="par"/>
        <w:ind w:left="0"/>
      </w:pPr>
      <w:r>
        <w:rPr/>
        <w:t xml:space="preserve"> Кроме того, ACOPOSmulti65m имеет функции STO (безопасное отключение момента) и SS1 в соответствии с SIL 3 или PLe. Дополнительные функции безопасности, такие как SLS, SOS, SDI, SLP и т.д. могут использоваться в сочетании с openSAFETY и уже интегрированы в модель ACOPOSmulti65m с SafeMC.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3841"/>
            <wp:effectExtent b="0" l="0" r="0" t="0"/>
            <wp:docPr id="1" name="BuR_ACOPOSmulti6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m"/>
                    <pic:cNvPicPr/>
                  </pic:nvPicPr>
                  <pic:blipFill>
                    <a:blip xmlns:r="http://schemas.openxmlformats.org/officeDocument/2006/relationships" cstate="print" r:embed="N103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Безопасное управление движением (Safe Motion Control) становится стандартом благодаря новым сервоактуаторам ACOPOSmulti65m.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8F" Target="media/N103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