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Řadič sběrnice POWERLINK: na míru každé aplikaci</w:t>
      </w:r>
    </w:p>
    <w:p>
      <w:pPr>
        <w:pStyle w:val="par-first"/>
        <w:ind w:left="0"/>
        <w:jc w:val="left"/>
      </w:pPr>
      <w:r>
        <w:rPr>
          <w:b/>
          <w:i/>
          <w:i/>
        </w:rPr>
        <w:t xml:space="preserve">Mimořádně flexibilní možnosti konfigurace nového řadiče sběrnice POWERLINK X67 s krytím IP67 od společnosti B&amp;R z něj činí nepostradatelnou standardní součást všech náročných automatizačních aplikací. Modul je vybaven 12 digitálními kanály, které lze podle konkrétních potřeb konfigurovat jako vstupy nebo výstupy.</w:t>
      </w:r>
    </w:p>
    <w:p>
      <w:pPr>
        <w:pStyle w:val="par"/>
        <w:ind w:left="0"/>
      </w:pPr>
      <w:r>
        <w:rPr/>
        <w:t xml:space="preserve">Analogový kanál s rozsahem 0–20 mA dále rozšiřuje okruh potenciálních aplikací tohoto řadiče sběrnice POWERLINK. Volně konfigurovatelný vstupní filtr nabízí další flexibilitu při implementaci projektů. Jeden vstup lze kromě toho použít pro čítač událostí. Všechna připojení používají standardní konektory M12.</w:t>
      </w:r>
    </w:p>
    <w:p>
      <w:pPr>
        <w:pStyle w:val="par"/>
        <w:ind w:left="0"/>
      </w:pPr>
      <w:r>
        <w:rPr/>
        <w:t xml:space="preserve">Modul POWERLINK má dva síťové konektory, což umožňuje zapojení do série.</w:t>
      </w:r>
    </w:p>
    <w:p>
      <w:pPr>
        <w:pStyle w:val="par"/>
        <w:ind w:left="0"/>
      </w:pPr>
      <w:r>
        <w:rPr>
          <w:b/>
        </w:rPr>
        <w:t xml:space="preserve">Flexibilní rozšiřování</w:t>
      </w:r>
    </w:p>
    <w:p>
      <w:pPr>
        <w:pStyle w:val="par"/>
        <w:ind w:left="0"/>
      </w:pPr>
      <w:r>
        <w:rPr/>
        <w:t xml:space="preserve">Díky použití vzdáleného rozhraní lze řadič sběrnice POWERLINK rozšířit o další moduly X67 nebo X20 i na dlouhé vzdálenosti. Uživatelé mají k dispozici téměř neomezenou volnost při návrhu systémů.</w:t>
      </w:r>
    </w:p>
    <w:p/>
    <w:bookmarkStart w:id="7" w:name="_XREFN100B4"/>
    <w:bookmarkStart w:id="8" w:name="_XREFN100B9"/>
    <w:p>
      <w:pPr>
        <w:keepNext/>
        <w:spacing w:after="20" w:before="0"/>
        <w:ind w:left="0"/>
      </w:pPr>
      <w:r>
        <w:drawing>
          <wp:inline xmlns:wp="http://schemas.openxmlformats.org/drawingml/2006/wordprocessingDrawing" distB="0" distL="0" distR="0" distT="0">
            <wp:extent cx="3600000" cy="2401354"/>
            <wp:effectExtent b="0" l="0" r="0" t="0"/>
            <wp:docPr id="1" name="BuR_POWERLINK_X67_Bus_Con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OWERLINK_X67_Bus_Controller"/>
                    <pic:cNvPicPr/>
                  </pic:nvPicPr>
                  <pic:blipFill>
                    <a:blip xmlns:r="http://schemas.openxmlformats.org/officeDocument/2006/relationships" cstate="print" r:embed="N10381"/>
                    <a:stretch>
                      <a:fillRect/>
                    </a:stretch>
                  </pic:blipFill>
                  <pic:spPr>
                    <a:xfrm>
                      <a:off x="0" y="0"/>
                      <a:ext cx="3600000" cy="2401354"/>
                    </a:xfrm>
                    <a:prstGeom prst="rect">
                      <a:avLst/>
                    </a:prstGeom>
                  </pic:spPr>
                </pic:pic>
              </a:graphicData>
            </a:graphic>
          </wp:inline>
        </w:drawing>
      </w:r>
    </w:p>
    <w:p>
      <w:pPr>
        <w:pStyle w:val="media-caption"/>
        <w:ind w:left="0"/>
      </w:pPr>
      <w:r>
        <w:t xml:space="preserve">Nový řadič sběrnice POWERLINK X67 od společnosti B&amp;R nabízí uživatelům téměř neomezenou volnost při návrhu systémů.</w:t>
      </w:r>
    </w:p>
    <w:bookmarkEnd w:id="8"/>
    <w:bookmarkEnd w:id="7"/>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02" w:type="default"/>
      <w:footerReference xmlns:r="http://schemas.openxmlformats.org/officeDocument/2006/relationships" r:id="N1049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2" Target="header1.xml" Type="http://schemas.openxmlformats.org/officeDocument/2006/relationships/header"/><Relationship Id="N10496" Target="footer1.xml" Type="http://schemas.openxmlformats.org/officeDocument/2006/relationships/footer"/><Relationship Id="N10381" Target="media/N1038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9" Target="media/N1046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