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Reação de segurança inteligente (Smart Safe Reaction) com o openSAFETY para Profinet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Agora que o controlador de segurança SafeLOGIC da B&amp;R está disponível para redes Profinet, a tecnologia Smart Safe Reaction pode ser rapidamente e facilmente integrada em aplicações de automação Profinet. Baseado em openSAFETY, o conjunto de produtos com Smart Safe Reaction da B&amp;R é o único sistema de segurança integrada que pode-se garantir tempos de resposta de 10 ms, o que é 10 vezes mais rápido do que as soluções anteriores. O sistema de segurança em tempo real openSAFETY não está ligado a uma única solução e pode ser usado em todos os convencionais sistemas baseados em Ethernet da rede de campo, até SIL 3.</w:t>
      </w:r>
    </w:p>
    <w:p>
      <w:pPr>
        <w:pStyle w:val="par"/>
        <w:ind w:left="0"/>
      </w:pPr>
      <w:r>
        <w:rPr/>
        <w:t xml:space="preserve">Em setores onde a Profinet se estabeleceu como a rede fieldbus mais prevalente, há um grande interesse nessa tecnologia de segurança aberta. Com as características inovadoras e de alto desempenho que a tecnologia Smart Safe Reaction pode proporcionar em combinação com a openSAFETY, requisitos do usuário agora podem também ser resolvidos em máquinas automatizadas e sistemas que usam a Profinet.</w:t>
      </w:r>
    </w:p>
    <w:p>
      <w:pPr>
        <w:pStyle w:val="par"/>
        <w:ind w:left="0"/>
      </w:pPr>
      <w:r>
        <w:rPr>
          <w:b/>
        </w:rPr>
        <w:t xml:space="preserve">Conjunto de produtos da Profinet</w:t>
      </w:r>
    </w:p>
    <w:p>
      <w:pPr>
        <w:pStyle w:val="par"/>
        <w:ind w:left="0"/>
      </w:pPr>
      <w:r>
        <w:rPr/>
        <w:t xml:space="preserve">A B&amp;R atende a essa demanda com um modelo de controlador de segurança SafeLOGIC para Profinet. Ele permite a execução do programa de aplicação relacionado com a segurança e também trata da monitorização da configuração geral da aplicação, incluindo os seus parâmetros. A aplicação de Profinet na CPU mestre tem acesso total aos sinais na rede, independentemente de quais canais padrões ou relacionados com a segurança são afetados. O controlador SafeLOGIC também usa a openSAFETY para monitorar o sistema e desligá-lo, se um requisito de segurança não é cumprida. Uma ampla gama de funções comprovadas do portfólio Smart Safe Reaction está disponível para implementação. Isto inclui, por exemplo, blocos de função do PLCopen e do TÜV, sinais seguros de entradas digitais e analógicos, detecção de sinal segura da temperatura, e muito mais.</w:t>
      </w:r>
    </w:p>
    <w:p>
      <w:pPr>
        <w:pStyle w:val="par"/>
        <w:ind w:left="0"/>
      </w:pPr>
      <w:r>
        <w:rPr>
          <w:b/>
        </w:rPr>
        <w:t xml:space="preserve">Colocando o "aberto" em openSAFETY</w:t>
      </w:r>
    </w:p>
    <w:p>
      <w:pPr>
        <w:pStyle w:val="par"/>
        <w:ind w:left="0"/>
      </w:pPr>
      <w:r>
        <w:rPr/>
        <w:t xml:space="preserve">O controlador SafeLOGIC nesta rede pode também, naturalmente, controlar sinais de componentes da openSAFETY, como cortinas de luz, scanners a laser e drives de freqüência variável de outros fabricantes.</w:t>
      </w:r>
    </w:p>
    <w:p/>
    <w:bookmarkStart w:id="8" w:name="_XREFN100D6"/>
    <w:bookmarkStart w:id="9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1038"/>
            <wp:effectExtent b="0" l="0" r="0" t="0"/>
            <wp:docPr id="1" name="BuR_SafeLO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"/>
                    <pic:cNvPicPr/>
                  </pic:nvPicPr>
                  <pic:blipFill>
                    <a:blip xmlns:r="http://schemas.openxmlformats.org/officeDocument/2006/relationships" cstate="print" r:embed="N1039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novo modelo SafeLOGIC da B&amp;R permite que a tecnologia de Smart Safe Reaction possa ser usado junto com a Profinet.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2" w:type="default"/>
      <w:footerReference xmlns:r="http://schemas.openxmlformats.org/officeDocument/2006/relationships" r:id="N104A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2" Target="header1.xml" Type="http://schemas.openxmlformats.org/officeDocument/2006/relationships/header"/><Relationship Id="N104A6" Target="footer1.xml" Type="http://schemas.openxmlformats.org/officeDocument/2006/relationships/footer"/><Relationship Id="N10391" Target="media/N1039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