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Успех команды Austrian Eco-Racing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Инновационный сверхэкономичный концепт-кар Fennek, разработанный студентами технического университета Граца, выиграл две номинации на Shell Экомарафон 2011. Всеобъемлющее тестирование трения качения на стенде, построенном на базе технологий B&amp;R, позволило уменьшить сопротивление качению и обеспечить значительное увеличение КПД. Fennek произвел фурор на соревновании Shell Экомарафон 2011 на трассе EuroSpeedway в Лауситце с результатом 843 км/кВт, показав высочайший уровень экономичности в использовании энергии.</w:t>
      </w:r>
    </w:p>
    <w:p>
      <w:pPr>
        <w:pStyle w:val="par"/>
        <w:ind w:left="0"/>
      </w:pPr>
      <w:r>
        <w:rPr/>
        <w:t xml:space="preserve">В 2010 году Fennek достиг результата 1773 км/л (бензиновый эквивалент) на водородном топливе; в этом году Fennek показал результат 7495 км/л на электродвигателе, с производительностью выросшей более чем на 300%. Вдобавок к 1-му месту в категории Plug-in команда Austrian Eco-Racing выиграла зачет по выбросам CO2.</w:t>
      </w:r>
    </w:p>
    <w:p>
      <w:pPr>
        <w:pStyle w:val="par"/>
        <w:ind w:left="0"/>
      </w:pPr>
      <w:r>
        <w:rPr>
          <w:b/>
        </w:rPr>
        <w:t xml:space="preserve">Активная поддержка проекта</w:t>
      </w:r>
    </w:p>
    <w:p>
      <w:pPr>
        <w:pStyle w:val="par"/>
        <w:ind w:left="0"/>
      </w:pPr>
      <w:r>
        <w:rPr/>
        <w:t xml:space="preserve">Как долгосрочный партнер технического университета Граца компания B&amp;R помогает студентам реализовывать различные проекты. Кроме предоставления новейших технологий автоматизации инженеры компании всегда готовы оказать экспертную техническую поддержку. "Мы хотим, чтобы молодые инженеры познакомились с нашими технологиями как можно раньше, - объясняет Томас Диккер, руководитель проекта со стороны B&amp;R. – Когда они начнут свою карьеру в ближайшем будущем, вполне возможно, что при разработке своих собственных решений они вспомнят свой опыт работы с компонентами от B&amp;R."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1152"/>
            <wp:effectExtent b="0" l="0" r="0" t="0"/>
            <wp:docPr id="1" name="BuR_Eco racing_Fen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co racing_Fennek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разработку и создание тестового стенда разработки ушло 2 500 часов. Для точных измерений используются самые передовые технологии от B&amp;R.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