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Schneller zum Ziel mit Automation Studio - Mechatronische Produktentwicklung kombiniert mit OOP beschleunigt die Prozesse</w:t>
      </w:r>
    </w:p>
    <w:p>
      <w:pPr>
        <w:pStyle w:val="par-first"/>
        <w:ind w:left="0"/>
        <w:jc w:val="left"/>
      </w:pPr>
      <w:r>
        <w:rPr>
          <w:b/>
          <w:i/>
          <w:i/>
        </w:rPr>
        <w:t xml:space="preserve">Bei Softwareprojekten kommt es häufig zu Verzögerungen im Entwicklungsablauf. Grund dafür ist meist eine komplexe und zu starre Software. Eine objektorientierte Vorgehensweise kann diesen Ablauf deutlich beschleunigen. Automation Studio auf Basis der Programmiersprache C++ schafft die notwendige Voraussetzung und erforderliche Flexibilität.</w:t>
      </w:r>
    </w:p>
    <w:p>
      <w:pPr>
        <w:pStyle w:val="par"/>
        <w:ind w:left="0"/>
      </w:pPr>
      <w:r>
        <w:rPr/>
        <w:t xml:space="preserve">Eine ganzheitliche Sicht auf die Entwicklungsaufgabe ist bei modernen Maschinenentwicklungen von zentraler Bedeutung. Damit das in der Praxis gelingt, müssen die eingesetzten Werkzeuge die Entwickler durchgängig unterstützen. Automation Studio bietet durch seine integrierte Simulationsumgebung, seine offenen Schnittstellen und die nahtlose C++ Integration die perfekte Plattform für eine optimale mechatronische Gestaltung der Produktentwicklung. So kann das Entwicklungsteam zu jeder Aufgabe das passende Werkzeug einsetzen. Beginnend bei der Anforderungsdefinition über die objektorientierte Analyse, das Design und die Simulation bis hin zur effizienten Inbetriebnahme der Maschine. Dadurch wird die Entwicklung insgesamt dynamischer, die Entwicklungszeiten kürzer bei gleichzeitiger Steigerung der Softwarequalität.</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Mit B&amp;R Automation Studio erfolgreich objektorientiert entwickeln, Entwicklungszeiten verkürzen und die Softwarequalität steigern.</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D5" w:type="default"/>
      <w:footerReference xmlns:r="http://schemas.openxmlformats.org/officeDocument/2006/relationships" r:id="N1046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5" Target="header1.xml" Type="http://schemas.openxmlformats.org/officeDocument/2006/relationships/header"/><Relationship Id="N10469"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C" Target="media/N1043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