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500 000 instalací systému POWERLINK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Na letošním veletrhu v Hanoveru společnosti B&amp;R a EPSG oficiálně předaly firmě MediSeal, mezinárodnímu výrobci balicích strojů a členu skupiny KÖRBER MEDIPAK Group, systém POWERLINK s pořadovým číslem 500 000. Strojní celky tohoto dlouhodobého zákazníka společnosti B&amp;R, které jsou určeny zejména pro farmaceutický a kosmetický průmysl, vyžadují maximální bezpečnost, výkonnost a flexibilitu.</w:t>
      </w:r>
    </w:p>
    <w:p>
      <w:pPr>
        <w:pStyle w:val="par"/>
        <w:ind w:left="0"/>
      </w:pPr>
      <w:r>
        <w:rPr/>
        <w:t xml:space="preserve">Pro řízení pohybu bude použita vysoce výkonná průmyslová sběrnice. „POWERLINK zajišťuje optimální synchronizaci pohonů, což je rozhodující výhoda u složitých aplikací řízení pohybu – jako jsou například naše vysoce dynamické balicí linky,“ poznamenává Winfried Holtey, specialista elektrického výzkumu a vývoje z firmy MediSeal.</w:t>
      </w:r>
    </w:p>
    <w:p>
      <w:pPr>
        <w:pStyle w:val="par"/>
        <w:ind w:left="0"/>
      </w:pPr>
      <w:r>
        <w:rPr/>
        <w:t xml:space="preserve">Standard POWERLINK, který byl představen v roce 2001, v současné době využívá přes 2500 výrobců z celého světa. Díky použití technologie s otevřeným zdrojovým kódem jde o jediný zcela otevřený a bezplatně licencovaný systém, který je na trhu k dispozici.</w:t>
      </w:r>
    </w:p>
    <w:p>
      <w:pPr>
        <w:pStyle w:val="par"/>
        <w:ind w:left="0"/>
      </w:pPr>
      <w:r>
        <w:rPr/>
        <w:t xml:space="preserve">„Jiné systémy ethernetových průmyslových sítí buď nabízejí jen průměrnou či středně dobrou synchronizaci, nebo jsou specializovány na vzájemnou komunikaci,“ vysvětluje Frank Winter, generální ředitel společnosti B&amp;R Germany. POWERLINK zaručuje výměnu dat v reálném čase mezi dvěma stanicemi na sběrnici s nejvyšší úrovní synchronizace. To platí bez ohledu na použitou topologii. Výkonnost systému POWERLINK je bezkonkurenční, zejména při synchronizaci velkého počtu poháněných os a V/V kanálů.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912"/>
            <wp:effectExtent b="0" l="0" r="0" t="0"/>
            <wp:docPr id="1" name="BuR_MediSeal_POWERLINK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ediSeal_POWERLINK System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Holger Rudolf ze společnosti B&amp;R (vlevo), Frank Winter, generální ředitel společnosti B&amp;R Germany (uprostřed vlevo) a manažer firmy EPSG Stefan Schönegger (vpravo) oficiálně předávají Winfriedovi Holteymu ze společnosti MediSeal systém POWERLINK s pořadovým číslem 500 000.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