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500.000stes POWERLINK System installiert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Auf der diesjährigen Hannover Messe überreichten B&amp;R und die EPSG in einer offiziellen Übergabe das bereits 500.000ste POWERLINK System an den internationalen Verpackungsmaschinenhersteller MediSeal, Mitglied der KÖRBER MEDIPAK Gruppe. Mit Fokus auf die Pharma- und Kosmetikindustrie stellt der langjährige B&amp;R Kunde höchste Anforderungen an die Sicherheit, Leistungsfähigkeit und Flexibilität seiner Maschinenlösungen. </w:t>
      </w:r>
    </w:p>
    <w:p>
      <w:pPr>
        <w:pStyle w:val="par"/>
        <w:ind w:left="0"/>
      </w:pPr>
      <w:r>
        <w:rPr/>
        <w:t xml:space="preserve">Zum Einsatz kommt der leistungsfähige Feldbus in der Antriebstechnik. „POWERLINK gewährleistet eine optimale Antriebssynchronisation - ein Vorteil, der gerade bei komplexen Bewegungsaufgaben, wie sie bei unseren hochdynamischen Verpackungslinien gefordert sind, entscheidend ist“, so Winfried Holtey, Mitarbeiter für Forschung&amp;Entwicklung im Bereich Elektrotechnik bei MediSeal.  </w:t>
      </w:r>
    </w:p>
    <w:p>
      <w:pPr>
        <w:pStyle w:val="par"/>
        <w:ind w:left="0"/>
      </w:pPr>
      <w:r>
        <w:rPr/>
        <w:t xml:space="preserve">POWERLINK, seit 2001 im Markt eingeführt, ist weltweit bei mehr als 2.500 Maschinenbauern im Einsatz und steht als einziges System durch open Source Technologie völlig offen und lizenzfrei zur Verfügung. </w:t>
      </w:r>
    </w:p>
    <w:p>
      <w:pPr>
        <w:pStyle w:val="par"/>
        <w:ind w:left="0"/>
      </w:pPr>
      <w:r>
        <w:rPr/>
        <w:t xml:space="preserve">„Die meisten anderen Industrial Ethernet Netzwerksysteme sind entweder mehr oder weniger gut in Synchronität oder sie beherrschen eher den Querverkehr“, erklärt Frank Winter, Geschäftsführer B&amp;R Deutschland. POWERLINK garantiert bei höchster Synchronität auch den Echtzeit-Datenaustausch von Busteilnehmern untereinander. Und das vollständig topologieunabhängig. Speziell bei der Synchronisierung von vielen Servoachsen und I/Os ist die Performance von POWERLINK unschlagbar. 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912"/>
            <wp:effectExtent b="0" l="0" r="0" t="0"/>
            <wp:docPr id="1" name="BuR_MediSeal_POWERLINK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ediSeal_POWERLINK System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Holger Rudolf, B&amp;R (li.), Frank Winter, Geschäftsführer B&amp;R Deutschland (Mitte links) und EPSG Geschäftsführer Stefan Schönegger (re.), bei der offiziellen Übergabe des 500.000sten POWERLINK Systems an Winfried Holtey, MediSeal.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