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Установлена 500 000-я система POWERLINK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На выставке в Ганновере в этом году B&amp;R и EPSG поздравили производителя упаковочного оборудования MediSeal, члена KÖRBER MEDIPAK Group, с установкой 500 000-й системы POWERLINK. MediSeal работает в основном в фармацевтической и косметической промышленности. Компания является многолетним партнером B&amp;R, и от ее машин требуется максимальная безопасность, производительность и гибкость.</w:t>
      </w:r>
    </w:p>
    <w:p>
      <w:pPr>
        <w:pStyle w:val="par"/>
        <w:ind w:left="0"/>
      </w:pPr>
      <w:r>
        <w:rPr/>
        <w:t xml:space="preserve">Для управления движением используются высокопроизводительные полевые шины. "POWERLINK обеспечивает оптимальную синхронизацию приводов – и это решающее преимущество при решении сложных задач управления движением, к которым относятся и наши высокодинамичные упаковочные линии", - заключает Винфрид Холти, специалист НИОКР компании MediSeal.</w:t>
      </w:r>
    </w:p>
    <w:p>
      <w:pPr>
        <w:pStyle w:val="par"/>
        <w:ind w:left="0"/>
      </w:pPr>
      <w:r>
        <w:rPr/>
        <w:t xml:space="preserve">POWERLINK, впервые представленный в 2001 году, в настоящее время используется более чем 2 500 машиностроителями по всему миру и, благодаря своему открытому исходному коду, является единственным открытым и бесплатным протоколом на рынке.</w:t>
      </w:r>
    </w:p>
    <w:p>
      <w:pPr>
        <w:pStyle w:val="par"/>
        <w:ind w:left="0"/>
      </w:pPr>
      <w:r>
        <w:rPr/>
        <w:t xml:space="preserve">"Прочие системы на базе сетей промышленнного Ethernet, как правило, предоставляют заурядную синхронизацию", - объясняет Франк Винтер, руководитель представительства B&amp;R в Германии. POWERLINK гарантирует обмен в режиме реального времени данными между узлами при высочайшем уровне синхронизации. И это не зависит от используемой топологии. Производительность POWERLINK является непревзойденной – особенно когда речь идет о синхронизации большого количества сервоосей и каналов ввода/вывода.</w:t>
      </w:r>
    </w:p>
    <w:p/>
    <w:bookmarkStart w:id="6" w:name="_XREFN100D6"/>
    <w:bookmarkStart w:id="7" w:name="_XREFN100D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912"/>
            <wp:effectExtent b="0" l="0" r="0" t="0"/>
            <wp:docPr id="1" name="BuR_MediSeal_POWERLINK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ediSeal_POWERLINK System"/>
                    <pic:cNvPicPr/>
                  </pic:nvPicPr>
                  <pic:blipFill>
                    <a:blip xmlns:r="http://schemas.openxmlformats.org/officeDocument/2006/relationships" cstate="print" r:embed="N1037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Хольгер Рудольф (B&amp;R, слева), Франк Винтер (Руководитель B&amp;R в Германии, 2-ой слева) и менеджер EPSG Штефан Шёнеггер (справа) вручают памятный приз Винфриду Холти из компании MediSeal, установившей 500 000-ю систему POWERLINK.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2" w:type="default"/>
      <w:footerReference xmlns:r="http://schemas.openxmlformats.org/officeDocument/2006/relationships" r:id="N1048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2" Target="header1.xml" Type="http://schemas.openxmlformats.org/officeDocument/2006/relationships/header"/><Relationship Id="N10486" Target="footer1.xml" Type="http://schemas.openxmlformats.org/officeDocument/2006/relationships/footer"/><Relationship Id="N10371" Target="media/N1037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9" Target="media/N1045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