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Frekvenční měnič s rozhraním POWERLINK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Pro složité stroje a strojní celky nabízí společnost B&amp;R měnič ACOPOSinverter P84 s integrovaným rozhraním POWERLINK a rozsahem výkonu od 0,37 do 500 kW. Měnič P84 umožňuje výběr z integrovaných digitálních a analogových V/V kanálů pro řízení širokého rozsahu technologických funkcí. Integrovaný rozbočovač POWERLINK rovněž významně zjednodušuje kabeláž sběrnice.</w:t>
      </w:r>
    </w:p>
    <w:p>
      <w:pPr>
        <w:pStyle w:val="par"/>
        <w:ind w:left="0"/>
      </w:pPr>
      <w:r>
        <w:rPr/>
        <w:t xml:space="preserve">Pro aplikace s přísnými požadavky na řízení rychlosti nebo momentu lze k měniči P84 přidat rozhraní pro kodér. To pomáhá dokonale začlenit měnič do koncepce řízení pohybu společnosti B&amp;R a umožňuje synchronizaci pohybů se servopohony.</w:t>
      </w:r>
    </w:p>
    <w:p>
      <w:pPr>
        <w:pStyle w:val="par"/>
        <w:ind w:left="0"/>
      </w:pPr>
      <w:r>
        <w:rPr/>
        <w:t xml:space="preserve">Díky integrovanému vývojovému prostředí B&amp;R Automation Studio nejsou nutné žádné další softwarové nástroje. Průvodce řízením pohybu pomáhá uživatelům při zařazování měniče P84 do projektu a manipulaci s jeho nejdůležitějšími základními nastaveními. Uvádění do provozu je tak mnohem jednodušší. Nástroj System Diagnostics Manager umožňuje spouštět úplnou diagnostiku a číst stav stroje – a to i přes Internet.</w:t>
      </w:r>
    </w:p>
    <w:p/>
    <w:bookmarkStart w:id="5" w:name="_XREFN100D7"/>
    <w:bookmarkStart w:id="6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inverter P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inverter P84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ACOPOSinverter P84 s integrovaným rozhraním POWERLINK pro rozsah výkonu od 0,37 do 500 kW.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3" w:type="default"/>
      <w:footerReference xmlns:r="http://schemas.openxmlformats.org/officeDocument/2006/relationships" r:id="N1047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3" Target="header1.xml" Type="http://schemas.openxmlformats.org/officeDocument/2006/relationships/header"/><Relationship Id="N10477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A" Target="media/N1044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