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Variateur de fréquence avec interface POWERLINK</w:t>
      </w:r>
    </w:p>
    <w:p>
      <w:pPr>
        <w:pStyle w:val="par-first"/>
        <w:ind w:left="0"/>
        <w:jc w:val="left"/>
      </w:pPr>
      <w:r>
        <w:rPr>
          <w:b/>
          <w:i/>
          <w:i/>
        </w:rPr>
        <w:t xml:space="preserve">Variateurs de fréquence avec interface POWERLINK intégrée, les ACOPOSinverter P84 de B&amp;R se prêtent bien à une utilisation dans des machines ou des installations complexes. Leur plage de puissances s'étend de 0,37 à 500 kW.  Les P84 disposent d'E/S digitales et analogiques embarquées pour réaliser diverses fonctions technologiques. De plus, ils intègrent un hub POWERLINK pour faciliter le câblage du bus.</w:t>
      </w:r>
    </w:p>
    <w:p>
      <w:pPr>
        <w:pStyle w:val="par"/>
        <w:ind w:left="0"/>
      </w:pPr>
      <w:r>
        <w:rPr/>
        <w:t xml:space="preserve">Pour les applications nécessitant un contrôle précis de la vitesse et du couple, une interface codeur peut leur être ajoutée. Les variateurs de fréquence s'intègrent alors parfaitement au concept Motion de B&amp;R puisque les mouvements qu’ils contrôlent peuvent être synchronisés avec les servovariateurs.</w:t>
      </w:r>
    </w:p>
    <w:p>
      <w:pPr>
        <w:pStyle w:val="par"/>
        <w:ind w:left="0"/>
      </w:pPr>
      <w:r>
        <w:rPr/>
        <w:t xml:space="preserve">Les P84 sont intégrés à l'environnement Automation Studio de B&amp;R et ne requièrent donc aucun outil logiciel supplémentaire. L'Assistant Motion guide l'utilisateur lors de leur insertion dans le projet et effectue les paramétrages les plus importants. Leur mise en service s'en trouve grandement facilitée. Avec le System Diagnostics Manager, il est possible de connaître leur état et d'effectuer un diagnostic machine complet, même sur Internet.</w:t>
      </w:r>
    </w:p>
    <w:p/>
    <w:bookmarkStart w:id="5" w:name="_XREFN100D7"/>
    <w:bookmarkStart w:id="6" w:name="_XREFN100DC"/>
    <w:p>
      <w:pPr>
        <w:keepNext/>
        <w:spacing w:after="20" w:before="0"/>
        <w:ind w:left="0"/>
      </w:pPr>
      <w:r>
        <w:drawing>
          <wp:inline xmlns:wp="http://schemas.openxmlformats.org/drawingml/2006/wordprocessingDrawing" distB="0" distL="0" distR="0" distT="0">
            <wp:extent cx="3600000" cy="2401354"/>
            <wp:effectExtent b="0" l="0" r="0" t="0"/>
            <wp:docPr id="1" name="BuR_ACOPOSinverter P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inverter P84"/>
                    <pic:cNvPicPr/>
                  </pic:nvPicPr>
                  <pic:blipFill>
                    <a:blip xmlns:r="http://schemas.openxmlformats.org/officeDocument/2006/relationships" cstate="print" r:embed="N10362"/>
                    <a:stretch>
                      <a:fillRect/>
                    </a:stretch>
                  </pic:blipFill>
                  <pic:spPr>
                    <a:xfrm>
                      <a:off x="0" y="0"/>
                      <a:ext cx="3600000" cy="2401354"/>
                    </a:xfrm>
                    <a:prstGeom prst="rect">
                      <a:avLst/>
                    </a:prstGeom>
                  </pic:spPr>
                </pic:pic>
              </a:graphicData>
            </a:graphic>
          </wp:inline>
        </w:drawing>
      </w:r>
    </w:p>
    <w:p>
      <w:pPr>
        <w:pStyle w:val="media-caption"/>
        <w:ind w:left="0"/>
      </w:pPr>
      <w:r>
        <w:t xml:space="preserve">ACOPOSinverter P84 avec interface POWERLINK intégrée pour puissances de 0,37 à 500 kW.</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E3" w:type="default"/>
      <w:footerReference xmlns:r="http://schemas.openxmlformats.org/officeDocument/2006/relationships" r:id="N1047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3" Target="header1.xml" Type="http://schemas.openxmlformats.org/officeDocument/2006/relationships/header"/><Relationship Id="N10477" Target="footer1.xml" Type="http://schemas.openxmlformats.org/officeDocument/2006/relationships/footer"/><Relationship Id="N10362" Target="media/N1036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A" Target="media/N1044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