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Преобразователь частоты с интерфейсом POWERLINK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Для сложных машин и систем компания B&amp;R предлагает ACOPOSinverter P84 со встроенным портом POWERLINK и диапазоном мощности от 0,37 до 500 кВт. P84 имеет на борту набор дискретных и аналоговых каналов ввода/вывода для управления различными технологическими функциями. Встроенный концентратор POWERLINK значительно упрощает схему проводных подключений.</w:t>
      </w:r>
    </w:p>
    <w:p>
      <w:pPr>
        <w:pStyle w:val="par"/>
        <w:ind w:left="0"/>
      </w:pPr>
      <w:r>
        <w:rPr/>
        <w:t xml:space="preserve">Для высокотребовательных в плане скорости или крутящего момента приложений в P84 может быть добавлен интерфейс энкодера. Это позволяет ему вписаться в концепцию управления движением B&amp;R. Перемещения при этом могут быть синхронизированы с сервоприводами.</w:t>
      </w:r>
    </w:p>
    <w:p>
      <w:pPr>
        <w:pStyle w:val="par"/>
        <w:ind w:left="0"/>
      </w:pPr>
      <w:r>
        <w:rPr/>
        <w:t xml:space="preserve">Благодаря комплексной среде разработки B&amp;R Automation Studio отпадает необходимость в прочих программных инструментах. Программный модуль настройки управления движением помогает пользователю при внедрении P84 в проект. Также он задает наиболее важные базовые настройки. Мастер диагностики SDM (System Diagnostics Manager) делает возможным выполнение полной диагностики или чтение состояния машины – даже посредством интернета.</w:t>
      </w:r>
    </w:p>
    <w:p/>
    <w:bookmarkStart w:id="5" w:name="_XREFN100D7"/>
    <w:bookmarkStart w:id="6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inverter P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inverter P84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P84 со встроенным интерфейсом POWERLINK покрывает диапазон мощности от 0,37 до 500 кВт.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3" w:type="default"/>
      <w:footerReference xmlns:r="http://schemas.openxmlformats.org/officeDocument/2006/relationships" r:id="N1047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3" Target="header1.xml" Type="http://schemas.openxmlformats.org/officeDocument/2006/relationships/header"/><Relationship Id="N10477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