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Hardware-in-the-Loop pour l'industrie automobile </w:t>
      </w:r>
    </w:p>
    <w:p>
      <w:pPr>
        <w:pStyle w:val="par-first"/>
        <w:ind w:left="0"/>
        <w:jc w:val="left"/>
      </w:pPr>
      <w:r>
        <w:rPr>
          <w:b/>
          <w:i/>
          <w:i/>
        </w:rPr>
        <w:t xml:space="preserve">La méthode dite HiL – Hardware-in-the-loop – pour le test et la validation des modèles système est utilisée avec succès depuis de nombreuses années. Grâce à la génération automatique de code, les modèles de machines développés avec des outils comme Simulink® ou MapleSim™ sont transférés sur un environnement temps réel où ils émulent ensuite le comportement des installations. Il est ainsi possible de créer un environnement de développement sûr pour réaliser des tests critiques.</w:t>
      </w:r>
    </w:p>
    <w:p>
      <w:pPr>
        <w:pStyle w:val="par"/>
        <w:ind w:left="0"/>
      </w:pPr>
      <w:r>
        <w:rPr>
          <w:b/>
        </w:rPr>
        <w:t xml:space="preserve">HiL sur les PC industriels de B&amp;R</w:t>
      </w:r>
    </w:p>
    <w:p>
      <w:pPr>
        <w:pStyle w:val="par"/>
        <w:ind w:left="0"/>
      </w:pPr>
      <w:r>
        <w:rPr/>
        <w:t xml:space="preserve">Alors que les solutions traditionnelles pour HiL reposent sur du matériel de laboratoire onéreux et peu maniable, les PC industriels de B&amp;R constituent la plate-forme idéale pour ce type de simulation. Les systèmes B&amp;R peuvent communiquer sur bon nombre de bus de terrain usuels et endurer une utilisation continue dans des environnements industriels sévères. Grâce à "Automation Studio Target for Simulink", il suffit de presser un bouton pour transférer sur la plate-forme temps réel les modèles implémentés dans l'environnement de simulation. Le portfolio particulièrement riche de B&amp;R dans les domaines du contrôle et des entraînements permet de modéliser un système entier. "Les concepteurs de bancs d'essai ou d'environnements de test, notamment dans les industries automobile, aéronautique et spatiale, tirent directement profit des avantages des systèmes B&amp;R".</w:t>
      </w:r>
    </w:p>
    <w:p/>
    <w:bookmarkStart w:id="5" w:name="_XREFN100D9"/>
    <w:bookmarkStart w:id="6" w:name="_XREFN100DE"/>
    <w:p>
      <w:pPr>
        <w:keepNext/>
        <w:spacing w:after="20" w:before="0"/>
        <w:ind w:left="0"/>
      </w:pPr>
      <w:r>
        <w:drawing>
          <wp:inline xmlns:wp="http://schemas.openxmlformats.org/drawingml/2006/wordprocessingDrawing" distB="0" distL="0" distR="0" distT="0">
            <wp:extent cx="3600000" cy="2401354"/>
            <wp:effectExtent b="0" l="0" r="0" t="0"/>
            <wp:docPr id="1" name="BuR_HIL_automo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IL_automotive"/>
                    <pic:cNvPicPr/>
                  </pic:nvPicPr>
                  <pic:blipFill>
                    <a:blip xmlns:r="http://schemas.openxmlformats.org/officeDocument/2006/relationships" cstate="print" r:embed="N10363"/>
                    <a:stretch>
                      <a:fillRect/>
                    </a:stretch>
                  </pic:blipFill>
                  <pic:spPr>
                    <a:xfrm>
                      <a:off x="0" y="0"/>
                      <a:ext cx="3600000" cy="2401354"/>
                    </a:xfrm>
                    <a:prstGeom prst="rect">
                      <a:avLst/>
                    </a:prstGeom>
                  </pic:spPr>
                </pic:pic>
              </a:graphicData>
            </a:graphic>
          </wp:inline>
        </w:drawing>
      </w:r>
    </w:p>
    <w:p>
      <w:pPr>
        <w:pStyle w:val="media-caption"/>
        <w:ind w:left="0"/>
      </w:pPr>
      <w:r>
        <w:t xml:space="preserve">Hardware-in-the-Loop sur plate-forme de contrôle B&amp;R : un environnement de développement sûr pour l'industrie automobile.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E4" w:type="default"/>
      <w:footerReference xmlns:r="http://schemas.openxmlformats.org/officeDocument/2006/relationships" r:id="N1047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4" Target="header1.xml" Type="http://schemas.openxmlformats.org/officeDocument/2006/relationships/header"/><Relationship Id="N10478" Target="footer1.xml" Type="http://schemas.openxmlformats.org/officeDocument/2006/relationships/footer"/><Relationship Id="N10363" Target="media/N1036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B" Target="media/N1044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