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Modulární řešení pohonů pro nejvyšší výkon</w:t>
      </w:r>
    </w:p>
    <w:p>
      <w:pPr>
        <w:pStyle w:val="par-first"/>
        <w:ind w:left="0"/>
        <w:jc w:val="left"/>
      </w:pPr>
      <w:r>
        <w:rPr>
          <w:i/>
          <w:i/>
        </w:rPr>
        <w:t xml:space="preserve">Základní podmínkou pro to, aby si stroje a systémy udržely konkurenceschopnost, je dokonalé přizpůsobení řešení pohonů aplikacím. Je zřejmé, že i měniče musí opustit rozváděče a přesunout se tam, kde probíhá zpracování. Z konfigurovatelných modulů se stanou snadno připojitelné mechatronické jednotky, což významně zkracuje dodací lhůty, snižuje požadavky na prostor a zkracuje dobu uvedení do provozu.</w:t>
      </w:r>
    </w:p>
    <w:p>
      <w:pPr>
        <w:pStyle w:val="par"/>
        <w:ind w:left="0"/>
      </w:pPr>
      <w:r>
        <w:rPr/>
        <w:t xml:space="preserve">Proto jsou přímo integrované měniče v bezprostřední blízkosti akčního členu (a bez nutnosti dalších úprav) ideální konfigurací. Společnost B&amp;R pro tyto aplikace vyvinula měnič ACOPOSmulti65 montovaný přímo na stroj.  </w:t>
      </w:r>
    </w:p>
    <w:p>
      <w:pPr>
        <w:pStyle w:val="par"/>
        <w:ind w:left="0"/>
      </w:pPr>
      <w:r>
        <w:rPr/>
        <w:t xml:space="preserve">Měniče ACOPOSmulti65 jsou konstruovány s krytím IP65, a proto je možné umístit je přímo na stroj. Rozváděč potom obsahuje pouze napájecí moduly a ostatní potřebné elektromechanické součásti. Výsledkem je mnohem snadnější implementace modulární architektury strojů.  </w:t>
      </w:r>
    </w:p>
    <w:p>
      <w:pPr>
        <w:pStyle w:val="par"/>
        <w:ind w:left="0"/>
      </w:pPr>
      <w:r>
        <w:rPr/>
        <w:t xml:space="preserve">Další výhoda souvisí s hybridní kabeláží mezi samotnými měniči. Jednoduché propojení modulů pohonů ACOPOSmulti65 za sebe (lineárně, daisy chain) podporuje přehlednou a flexibilní architekturu strojů, kdy energii předává jeden modul pohonu druhému.  </w:t>
      </w:r>
    </w:p>
    <w:p>
      <w:pPr>
        <w:pStyle w:val="par"/>
        <w:ind w:left="0"/>
      </w:pPr>
      <w:r>
        <w:rPr/>
        <w:t xml:space="preserve">Kromě osvědčených pevně zapojených bezpečnostních funkcí STO (bezpečné vypnutí krouticího momentu) a SS1 (sledované bezpečné zastavení provozu 1) budou volitelně k dispozici i síťové varianty ACOPOSmulti65 založené na architektuře openSAFETY. Uživatelé budou mít k dispozici následující funkce, které již byly certifikovány pro zařízení ACOPOSmulti: STO, SBC, SOS, SS1, SS2, SLS, SMS, SLI, SDI a SLP.</w:t>
      </w:r>
    </w:p>
    <w:p/>
    <w:bookmarkStart w:id="7" w:name="_XREFN100D8"/>
    <w:bookmarkStart w:id="8" w:name="_XREFN100DD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ACOPOSmulti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COPOSmulti65"/>
                    <pic:cNvPicPr/>
                  </pic:nvPicPr>
                  <pic:blipFill>
                    <a:blip xmlns:r="http://schemas.openxmlformats.org/officeDocument/2006/relationships" cstate="print" r:embed="N1037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F4" w:type="default"/>
      <w:footerReference xmlns:r="http://schemas.openxmlformats.org/officeDocument/2006/relationships" r:id="N1048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4" Target="header1.xml" Type="http://schemas.openxmlformats.org/officeDocument/2006/relationships/header"/><Relationship Id="N10488" Target="footer1.xml" Type="http://schemas.openxmlformats.org/officeDocument/2006/relationships/footer"/><Relationship Id="N1037E" Target="media/N1037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B" Target="media/N1045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