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Solutions d'entraînement modulaires pour maximiser les performances</w:t>
      </w:r>
    </w:p>
    <w:p>
      <w:pPr>
        <w:pStyle w:val="par-first"/>
        <w:ind w:left="0"/>
        <w:jc w:val="left"/>
      </w:pPr>
      <w:r>
        <w:rPr>
          <w:i/>
          <w:i/>
        </w:rPr>
        <w:t xml:space="preserve">Pour que les machines ou systèmes de production restent compétitifs, les solutions d’entraînement doivent être parfaitement adaptées aux spécificités de chaque application. Les configurations d’entraînement résultant de l’intégration directe (et sans mesure supplémentaire) du variateur à l’environnement immédiat de l’actionneur répondent idéalement à ce besoin de flexibilité. Les unités mécatroniques complètes, auto-suffisantes et totalement décentralisées ainsi obtenues libèrent un espace précieux dans l’armoire électrique et facilitent la modularisation des machines.</w:t>
      </w:r>
    </w:p>
    <w:p>
      <w:pPr>
        <w:pStyle w:val="par"/>
        <w:ind w:left="0"/>
      </w:pPr>
      <w:r>
        <w:rPr/>
        <w:t xml:space="preserve">Les configurations d’entraînement résultant de l’intégration directe (et sans mesure supplémentaire) du variateur à l’environnement immédiat de l’actionneur répondent idéalement à ce besoin de flexibilité. Pour les applications où les entraînements doivent être directement montés sur la machine, B&amp;R a développé une nouvelle gamme de variateurs : les ACOPOSremote.</w:t>
      </w:r>
    </w:p>
    <w:p>
      <w:pPr>
        <w:pStyle w:val="par"/>
        <w:ind w:left="0"/>
      </w:pPr>
      <w:r>
        <w:rPr/>
        <w:t xml:space="preserve">Les variateurs ACOPOSremote sont dotés d’une protection IP65, ce qui permet de les monter directement sur la machine. Ainsi, l’armoire électrique ne contient que les modules d’alimentation et certains composants électromécaniques. Les machines de conception modulaire deviennent ainsi plus simples à réaliser.</w:t>
      </w:r>
    </w:p>
    <w:p>
      <w:pPr>
        <w:pStyle w:val="par"/>
        <w:ind w:left="0"/>
      </w:pPr>
      <w:r>
        <w:rPr/>
        <w:t xml:space="preserve">Les variateurs ACOPOSremote présentent aussi un autre atout : celui d’être reliés entre eux avec des câbles hybrides. Ils se raccordent l'un à la suite de l'autre selon un schéma "daisy chain". Il en résulte des architectures machines claires et flexibles, où l’énergie est transmise simplement d’un module variateur à l’autre via un seul câble.</w:t>
      </w:r>
    </w:p>
    <w:p>
      <w:pPr>
        <w:pStyle w:val="par"/>
        <w:ind w:left="0"/>
      </w:pPr>
      <w:r>
        <w:rPr/>
        <w:t xml:space="preserve">En plus des fonctions sécuritaires câblées STO (Safe Torque Off) et SS1 (Safe Operational Stop 1), les ACOPOSremote pourront également inclure en option des fonctions sécuritaires basées sur openSAFETY, et donc activées et contrôlées via le réseau d’automatisme. Ceci permettra aux utilisateurs d’accéder aux fonctions suivantes, déjà toutes certifiées pour les ACOPOSmulti : STO, SBC, SOS, SS1, SS2, SLS, SMS, SLI, SDI et SLP.</w:t>
      </w:r>
    </w:p>
    <w:p/>
    <w:bookmarkStart w:id="7" w:name="_XREFN100D8"/>
    <w:bookmarkStart w:id="8" w:name="_XREFN100DD"/>
    <w:p>
      <w:pPr>
        <w:keepNext/>
        <w:spacing w:after="20" w:before="0"/>
        <w:ind w:left="0"/>
      </w:pPr>
      <w:r>
        <w:drawing>
          <wp:inline xmlns:wp="http://schemas.openxmlformats.org/drawingml/2006/wordprocessingDrawing" distB="0" distL="0" distR="0" distT="0">
            <wp:extent cx="3600000" cy="2401354"/>
            <wp:effectExtent b="0" l="0" r="0" t="0"/>
            <wp:docPr id="1" name="BuR_ACOPOSmulti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65"/>
                    <pic:cNvPicPr/>
                  </pic:nvPicPr>
                  <pic:blipFill>
                    <a:blip xmlns:r="http://schemas.openxmlformats.org/officeDocument/2006/relationships" cstate="print" r:embed="N1037F"/>
                    <a:stretch>
                      <a:fillRect/>
                    </a:stretch>
                  </pic:blipFill>
                  <pic:spPr>
                    <a:xfrm>
                      <a:off x="0" y="0"/>
                      <a:ext cx="3600000" cy="2401354"/>
                    </a:xfrm>
                    <a:prstGeom prst="rect">
                      <a:avLst/>
                    </a:prstGeom>
                  </pic:spPr>
                </pic:pic>
              </a:graphicData>
            </a:graphic>
          </wp:inline>
        </w:drawing>
      </w:r>
    </w:p>
    <w:p>
      <w:pPr>
        <w:pStyle w:val="media-caption"/>
        <w:ind w:left="0"/>
      </w:pPr>
      <w:r>
        <w:t xml:space="preserve">Les configurations d'entraînement résultant de l'intégration directe, sans mesure supplémentaire, du variateur à la machine répondent idéalement à ce besoin de flexibilité.</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0" w:type="default"/>
      <w:footerReference xmlns:r="http://schemas.openxmlformats.org/officeDocument/2006/relationships" r:id="N1049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0" Target="header1.xml" Type="http://schemas.openxmlformats.org/officeDocument/2006/relationships/header"/><Relationship Id="N10494"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7" Target="media/N1046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