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Les robots Stäubli s’intègrent aisément aux réseaux POWERLINK via le drive uniVAL</w:t>
      </w:r>
    </w:p>
    <w:p>
      <w:pPr>
        <w:pStyle w:val="par-first"/>
        <w:ind w:left="0"/>
        <w:jc w:val="left"/>
      </w:pPr>
      <w:r>
        <w:rPr>
          <w:b/>
          <w:i/>
          <w:i/>
        </w:rPr>
        <w:t xml:space="preserve">Il est désormais possible de contrôler directement les robots Stäubli avec les automates B&amp;R. Sur les drives uniVAL de Stäubli, une interface POWERLINK permet en effet aux programmes Generic Motion Control (GMC) des automates B&amp;R d’accéder aux robots. Les ingénieurs roboticiens peuvent donc utiliser l’environnement de commande et de programmation uniforme GMC fourni par les automates B&amp;R..</w:t>
      </w:r>
    </w:p>
    <w:p>
      <w:pPr>
        <w:pStyle w:val="par"/>
        <w:ind w:left="0"/>
      </w:pPr>
      <w:r>
        <w:rPr/>
        <w:t xml:space="preserve">La connexion des robots Stäubli au réseau s’effectue via le standard d’Ethernet temps réel POWERLINK. Dans le cas d’une utilisation avec un automate de niveau supérieur, les automates contrôlant les robots Stäubli fonctionnent en mode passif, tout en pouvant contrôler si les commandes qui leur parviennent sont valides en terme de cinématique et de sécurité.</w:t>
      </w:r>
    </w:p>
    <w:p>
      <w:pPr>
        <w:pStyle w:val="par"/>
        <w:ind w:left="0"/>
      </w:pPr>
      <w:r>
        <w:rPr/>
        <w:t xml:space="preserve">Avec les automates B&amp;R, les opérateurs disposent d’une interface de commande uniformisée permettant de réduire le travail de mise en route et de maintenance. Pour les constructeurs de machines, la réduction du nombre d’interfaces ne se traduit pas seulement par un prix de vente plus bas, mais aussi par des cycles de fabrication plus courts, et donc aussi par une réduction des coûts de production.</w:t>
      </w:r>
    </w:p>
    <w:p>
      <w:pPr>
        <w:pStyle w:val="par"/>
        <w:ind w:left="0"/>
      </w:pPr>
      <w:r>
        <w:rPr/>
        <w:t xml:space="preserve">Réseau fédérateur, POWERLINK offre un support uniforme pour le diagnostic et permet de réaliser des solutions complètes intégrant la visualisation, le motion control, le contrôle de robots, et également le contrôle qualité grâce à l’utilisation conjointe du traitement d’images et du réseau strictement temps réel.</w:t>
      </w:r>
    </w:p>
    <w:p/>
    <w:bookmarkStart w:id="6" w:name="_XREFN100D8"/>
    <w:bookmarkStart w:id="7" w:name="_XREFN100DD"/>
    <w:p>
      <w:pPr>
        <w:keepNext/>
        <w:spacing w:after="20" w:before="0"/>
        <w:ind w:left="0"/>
      </w:pPr>
      <w:r>
        <w:drawing>
          <wp:inline xmlns:wp="http://schemas.openxmlformats.org/drawingml/2006/wordprocessingDrawing" distB="0" distL="0" distR="0" distT="0">
            <wp:extent cx="3600000" cy="5400000"/>
            <wp:effectExtent b="0" l="0" r="0" t="0"/>
            <wp:docPr id="1" name="BuR_Staeubli_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Staeubli_robot"/>
                    <pic:cNvPicPr/>
                  </pic:nvPicPr>
                  <pic:blipFill>
                    <a:blip xmlns:r="http://schemas.openxmlformats.org/officeDocument/2006/relationships" cstate="print" r:embed="N10371"/>
                    <a:stretch>
                      <a:fillRect/>
                    </a:stretch>
                  </pic:blipFill>
                  <pic:spPr>
                    <a:xfrm>
                      <a:off x="0" y="0"/>
                      <a:ext cx="3600000" cy="5400000"/>
                    </a:xfrm>
                    <a:prstGeom prst="rect">
                      <a:avLst/>
                    </a:prstGeom>
                  </pic:spPr>
                </pic:pic>
              </a:graphicData>
            </a:graphic>
          </wp:inline>
        </w:drawing>
      </w:r>
    </w:p>
    <w:p>
      <w:pPr>
        <w:pStyle w:val="media-caption"/>
        <w:ind w:left="0"/>
      </w:pPr>
      <w:r>
        <w:t xml:space="preserve">La connexion des robots au réseau s’effectue via le standard d’Ethernet temps réel POWERLINK.</w:t>
      </w:r>
    </w:p>
    <w:bookmarkEnd w:id="7"/>
    <w:bookmarkEnd w:id="6"/>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3F2" w:type="default"/>
      <w:footerReference xmlns:r="http://schemas.openxmlformats.org/officeDocument/2006/relationships" r:id="N1048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2" Target="header1.xml" Type="http://schemas.openxmlformats.org/officeDocument/2006/relationships/header"/><Relationship Id="N10486" Target="footer1.xml" Type="http://schemas.openxmlformats.org/officeDocument/2006/relationships/footer"/><Relationship Id="N10371" Target="media/N1037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9" Target="media/N1045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