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présent à l'Intelligent Engineering benchmark forum de Munich </w:t>
      </w:r>
    </w:p>
    <w:p>
      <w:pPr>
        <w:pStyle w:val="par-first"/>
        <w:ind w:left="0"/>
        <w:jc w:val="left"/>
      </w:pPr>
      <w:r>
        <w:rPr>
          <w:b/>
          <w:i/>
          <w:i/>
        </w:rPr>
        <w:t xml:space="preserve">Les outils logiciels d'ingénierie prennent de plus en plus d'importance chez les fabricants de machines. Dans ce contexte, l'entreprise ITQ et le magazine spécialisé Computer&amp;AUTOMATION ont invité les industriels à participer à l'Intelligent Engineering benchmark forum.</w:t>
      </w:r>
    </w:p>
    <w:p>
      <w:pPr>
        <w:pStyle w:val="par"/>
        <w:ind w:left="0"/>
      </w:pPr>
      <w:r>
        <w:rPr/>
        <w:t xml:space="preserve">Cette manifestation s'adressait aux industriels désireux d'avoir une vue d'ensemble sur les outils de développement dédiés aux automatismes. B&amp;R a été représenté par Hans Egermeier et Philipp Wallner, responsables de l'outil d'ingénierie Automation Studio de B&amp;R. Le Benchmark Forum se déroulera le 21 mars 2012 de 9h à 19h, au salon Novotel de Munich. Le 22 mars, les parties intéressées pourront participer à un atelier en temps réel, de 11h30 à 13h30, afin d'obtenir de plus amples informations sur Automation Studio.  </w:t>
      </w:r>
    </w:p>
    <w:p>
      <w:pPr>
        <w:pStyle w:val="par"/>
        <w:ind w:left="0"/>
      </w:pPr>
      <w:r>
        <w:rPr/>
        <w:t xml:space="preserve">Pour en savoir plus : www.intelligentes-engineering.de</w:t>
      </w:r>
    </w:p>
    <w:p/>
    <w:bookmarkStart w:id="5" w:name="_XREFN100F0"/>
    <w:bookmarkStart w:id="6" w:name="_XREFN100F5"/>
    <w:p>
      <w:pPr>
        <w:keepNext/>
        <w:spacing w:after="20" w:before="0"/>
        <w:ind w:left="0"/>
      </w:pPr>
      <w:r>
        <w:drawing>
          <wp:inline xmlns:wp="http://schemas.openxmlformats.org/drawingml/2006/wordprocessingDrawing" distB="0" distL="0" distR="0" distT="0">
            <wp:extent cx="3600000" cy="577901"/>
            <wp:effectExtent b="0" l="0" r="0" t="0"/>
            <wp:docPr id="1" name="BuR_Logo_Benchmar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Logo_Benchmark_4c"/>
                    <pic:cNvPicPr/>
                  </pic:nvPicPr>
                  <pic:blipFill>
                    <a:blip xmlns:r="http://schemas.openxmlformats.org/officeDocument/2006/relationships" cstate="print" r:embed="N10362"/>
                    <a:stretch>
                      <a:fillRect/>
                    </a:stretch>
                  </pic:blipFill>
                  <pic:spPr>
                    <a:xfrm>
                      <a:off x="0" y="0"/>
                      <a:ext cx="3600000" cy="577901"/>
                    </a:xfrm>
                    <a:prstGeom prst="rect">
                      <a:avLst/>
                    </a:prstGeom>
                  </pic:spPr>
                </pic:pic>
              </a:graphicData>
            </a:graphic>
          </wp:inline>
        </w:drawing>
      </w:r>
    </w:p>
    <w:p>
      <w:pPr>
        <w:pStyle w:val="media-caption"/>
        <w:ind w:left="0"/>
      </w:pPr>
      <w:r>
        <w:t xml:space="preserve">Le 1er Intelligent Engineering benchmark forum a dressé le tableau des outils d'ingénierie aujourd'hui disponibles pour l'automatisation industrielle.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