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Nové obzory technologie řízení procesů APROL od společnosti B&amp;R a mnoho nových funkcí představených na veletrhu ACHEMA 2012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 – 30. ročník veletrhu ACHEMA, mezinárodní výstavy zpracovatelského průmyslu, chemických technologií, ochrany životního prostředí a biotechnologií, se uskutečnil ve dnech 18.–22. června 2012. Společnost B&amp;R této významné události využila k představení svého nepřekonatelně flexibilního systému řízení procesů APROL, který zahrnuje vše od konfigurace projektu až po úroveň jednotlivých strojů.</w:t>
      </w:r>
    </w:p>
    <w:p>
      <w:pPr>
        <w:pStyle w:val="par"/>
        <w:ind w:left="0"/>
      </w:pPr>
      <w:r>
        <w:rPr/>
        <w:t xml:space="preserve">Nové funkce na úrovni řízení procesů zahrnují systém APC (Advanced Process Control), jehož součástí je knihovna modelových prediktivních řídicích funkcí pro modelování procesů a programování v jazyce SFC (Sequential Function Chart). Nově vyvinutý redundantní řadič zajišťuje přepnutí kritických procesů na záložní systémy v rámci milisekund. </w:t>
      </w:r>
    </w:p>
    <w:p>
      <w:pPr>
        <w:pStyle w:val="par"/>
        <w:ind w:left="0"/>
      </w:pPr>
      <w:r>
        <w:rPr/>
        <w:t xml:space="preserve">Komplexní řešení monitorování energie EnMon zajišťuje sledování příkonu a zvyšuje tak energetickou účinnost v průmyslových závodech. Tato funkce je integrální součástí systému APROL a usnadňuje tak splnění nové normy ISO 50001, která nahrazuje standard EN 16001. Funkce systému jsou předem nastavené a umožňují vyhodnocovat signály z nového modulu měření energie X20AP, který slouží k měření napětí, proudů, frekvencí a jalových složek u všech fází. </w:t>
      </w:r>
    </w:p>
    <w:p>
      <w:pPr>
        <w:pStyle w:val="par"/>
        <w:ind w:left="0"/>
      </w:pPr>
      <w:r>
        <w:rPr>
          <w:b/>
        </w:rPr>
        <w:t xml:space="preserve">Úspory nákladů díky synergii</w:t>
      </w:r>
    </w:p>
    <w:p>
      <w:pPr>
        <w:pStyle w:val="par"/>
        <w:ind w:left="0"/>
      </w:pPr>
      <w:r>
        <w:rPr/>
        <w:t xml:space="preserve">Toto zařízení je součástí řady modulů X20 od společnosti B&amp;R, jejichž velký počet z nichž činí zajímavou volbu pro výrobu strojů a jejichž kompaktní modularita a nízké ceny jsou výrobci strojů velmi oceňovány. Pro specialisty na řízení procesů jsou zvláště zajímavé moduly HART, které jsou vybaveny analogovými i digitálnímu vstupy a výstupy, a nový modul pro monitorování stavu, který umožňuje samostatné vyhodnocování vibrací. </w:t>
      </w:r>
    </w:p>
    <w:p>
      <w:pPr>
        <w:pStyle w:val="par"/>
        <w:ind w:left="0"/>
      </w:pPr>
      <w:r>
        <w:rPr/>
        <w:t xml:space="preserve">Řada výrobků byla rovněž rozšířena o moduly X20 s bezpečnými analogovými vstupy pro nezávislý bezpečnostně orientovaný přenosový protokol openSAFETY. Tento protokol, který vychází z mezinárodní normy IEC 61784-3 FSCP 13, je v oblasti automatizace procesů stále více používán. </w:t>
      </w:r>
    </w:p>
    <w:p>
      <w:pPr>
        <w:pStyle w:val="par"/>
        <w:ind w:left="0"/>
      </w:pPr>
      <w:r>
        <w:rPr/>
        <w:t xml:space="preserve">Expozice společnosti B&amp;R na veletrhu ACHEMA se nachází v hale 11.1, stánek A63.</w:t>
      </w:r>
    </w:p>
    <w:p/>
    <w:bookmarkStart w:id="9" w:name="_XREFN100B6"/>
    <w:bookmarkStart w:id="10" w:name="_XREFN100B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07077"/>
            <wp:effectExtent b="0" l="0" r="0" t="0"/>
            <wp:docPr id="1" name="BuR_Leitw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eitwarte"/>
                    <pic:cNvPicPr/>
                  </pic:nvPicPr>
                  <pic:blipFill>
                    <a:blip xmlns:r="http://schemas.openxmlformats.org/officeDocument/2006/relationships" cstate="print" r:embed="N1039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Moderní řídicí stanice pro monitorování a řízení procesů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0" w:type="default"/>
      <w:footerReference xmlns:r="http://schemas.openxmlformats.org/officeDocument/2006/relationships" r:id="N104B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0" Target="header1.xml" Type="http://schemas.openxmlformats.org/officeDocument/2006/relationships/header"/><Relationship Id="N104B4" Target="footer1.xml" Type="http://schemas.openxmlformats.org/officeDocument/2006/relationships/footer"/><Relationship Id="N1039F" Target="media/N1039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7" Target="media/N1048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