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Pokaz "Perfection in Automation" zorganizowany przez B&amp;R – obecność na HMI wraz z wieloma nowoczesnymi rozwiązaniami technologicznymi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Firma B&amp;R silnie zaznaczył swoje tegoroczne uczestnictwo w targach HMI zorganizowanych w dniach 23-27 kwietnia w Hanowerze. W trakcie imprezy, B&amp;R przedstawiła szeroką gamę produktów z dziedziny automatyzacji procesów i produkcji."Jesteśmy bardzo zadowoleni z uczestnictwa w tegorocznej imprezie HMI," wyjaśnia Werner Gropp, Menedżer ds. Marketingu Globalnego B&amp;R. Następnie dodaje: "Wielu gości szukało naszego stanowiska, żeby zobaczyć, co mamy do zaoferowania i zapoznać się z nowinkami technologicznymi. Jakby nie było, oferujemy kompletny pakiet, dostępny w jednym miejscu – zaczynając od napędów i sterowników, aż po narzędzia wizualizacji i panele sterowania."</w:t>
      </w:r>
    </w:p>
    <w:p>
      <w:pPr>
        <w:pStyle w:val="par"/>
        <w:ind w:left="0"/>
      </w:pPr>
      <w:r>
        <w:rPr/>
        <w:t xml:space="preserve">Zautomatyzowane projekty demo to tylko jeden ze sposobów przedstawienia naszym gościom sprawności działania różnych komponentów i systemów oprogramowania. Firma B&amp;R przedstawiła produkty wizualizacyjne wykorzystujące technologię ekranów dotykowych oraz rozwiązania w zakresie bezawaryjnego sterowania procesami wraz z systemami we/wy, procesorami, komputerami przemysłowymi, napędami oraz technologią bezpieczeństwa.</w:t>
      </w:r>
    </w:p>
    <w:p>
      <w:pPr>
        <w:pStyle w:val="par"/>
        <w:ind w:left="0"/>
      </w:pPr>
      <w:r>
        <w:rPr>
          <w:b/>
        </w:rPr>
        <w:t xml:space="preserve">Mobilna automatyka wychodząca naprzeciw potrzebom rynku</w:t>
      </w:r>
    </w:p>
    <w:p>
      <w:pPr>
        <w:pStyle w:val="par"/>
        <w:ind w:left="0"/>
      </w:pPr>
      <w:r>
        <w:rPr/>
        <w:t xml:space="preserve">W trakcie tegorocznej imprezy zaprezentowano także najnowszy dział firmy – Mobile Automation. Dzięki zmianom na rynku, jakie miały miejsce w ostatnich latach, od 2011 B&amp;R prezentuje rozwiązania zindywidualizowane dla pojazdów oraz zastosowań zewnętrznych. "Wejście w ten sektor było logicznym kolejnym etapem rozszerzania portfela naszych produktów," stwierdza Werner Gropp w nawiązaniu do tej nowej strategii. Dostosowana do indywidualnych potrzeb mieszanka różnych produktów jest kluczem do spełnienia wymogów w zakresie zautomatyzowanych maszyn mobilnych. "Jest to modularny system, który można budować i instalować indywidualnie, w zależności od potrzeb," wyjaśnia menadżer ds. marketingu. Tego typu rozwiązania w zakresie automatyki są wykorzystywane w pojazdach do zastosowań profesjonalnych i komercyjnych lub urządzeniach i maszynach budowlanych o podwyższonych standardach w zakresie technologii zintegrowanych. Czynniki takie, jak ekstremalne temperatury, odporność na uderzenia oraz wytrzymałość i trwałość muszą być uwzględniane w celu zapewnienia działania tych urządzeń w skrajnych warunkach. Grono zadowolonych klientów poszerzyło się  już o producentów pojazdów strażackich, których przyciągnęła sprawność działania i wydajność rozwiązań B&amp;R; w tym szczególnym przypadku zaś, chodzi o urządzenia operacyjne i monitorujące sterowane za pomocą zdecentralizowanego procesora i modułów we/wy. Eksperci także oferują komputery sterownicze, których wydajność można tylko porównać ze sprawnością samych strażaków. Terminale sterownicze MA120 i MA170 gwarantują wymaganych wysoki poziom funkcjonalności. W połączeniu z POWERLINK pozwalają one budować kanały komunikacji dla szerokiego zakresu zastosowań, bez potrzeby stosowania dużej ilości okablowania. Wszystkie komponenty niezbędne do wdrożenia tego rozwiązania mieszczą się w portfolio produktów B&amp;R - jest to kolejny dowód na to, jak bardzo przestrzegamy firmowego motto – "Kompletne rozwiązania od jednego dostawcy" – nawet w przypadku tak wymagających obszarów jak ten.</w:t>
      </w:r>
    </w:p>
    <w:p/>
    <w:bookmarkStart w:id="6" w:name="_XREFN100BF"/>
    <w:bookmarkStart w:id="7" w:name="_XREFN100C4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11_DE_04_BuR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_DE_04_BuR_005"/>
                    <pic:cNvPicPr/>
                  </pic:nvPicPr>
                  <pic:blipFill>
                    <a:blip xmlns:r="http://schemas.openxmlformats.org/officeDocument/2006/relationships" cstate="print" r:embed="N1037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 na targach HMI 2012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3F3" w:type="default"/>
      <w:footerReference xmlns:r="http://schemas.openxmlformats.org/officeDocument/2006/relationships" r:id="N10487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3" Target="header1.xml" Type="http://schemas.openxmlformats.org/officeDocument/2006/relationships/header"/><Relationship Id="N10487" Target="footer1.xml" Type="http://schemas.openxmlformats.org/officeDocument/2006/relationships/footer"/><Relationship Id="N10372" Target="media/N10372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A" Target="media/N1045A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