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Le nouveau module à touches de B&amp;R</w:t>
      </w:r>
    </w:p>
    <w:p>
      <w:pPr>
        <w:pStyle w:val="label-first"/>
        <w:keepNext/>
        <w:ind w:left="0"/>
      </w:pPr>
      <w:r>
        <w:rPr>
          <w:b/>
          <w:sz w:val="20"/>
        </w:rPr>
        <w:t xml:space="preserve">Commande intuitive au plus près du processus</w:t>
      </w:r>
    </w:p>
    <w:p>
      <w:pPr>
        <w:pStyle w:val="par-first"/>
        <w:ind w:left="0"/>
        <w:jc w:val="left"/>
      </w:pPr>
      <w:r>
        <w:rPr>
          <w:i/>
          <w:i/>
        </w:rPr>
        <w:t xml:space="preserve">Ergonomique et robuste, le nouveau module à touches avec anneaux lumineux de B&amp;R est particulièrement adapté aux exigences de l’environnement de production. Aussi compact qu’un téléphone portable et doté d’une protection IP65 facilitant le nettoyage, ce nouvel appareil de commande est spécialement conçu pour être décentralisé sur la machine. Sa conception hygiénique répond aux exigences strictes des industries agroalimentaire et pharmaceutique.</w:t>
      </w:r>
    </w:p>
    <w:p>
      <w:pPr>
        <w:pStyle w:val="par"/>
        <w:ind w:left="0"/>
      </w:pPr>
      <w:r>
        <w:rPr/>
        <w:t xml:space="preserve">Les touches peuvent être illuminées en jaune, vert, rouge et blanc, et des étiquettes de repérage peuvent y être facilement introduites. Par leur homogénéité, les anneaux lumineux autour des touches produisent un effet d’alerte optimal. En outre, l’ergonomie des touches contribue au confort de l'utilisateur. Et avec trois conceptions différentes, l'utilisateur peut choisir celle qui correspond le mieux aux exigences de son application.  </w:t>
      </w:r>
    </w:p>
    <w:p>
      <w:pPr>
        <w:pStyle w:val="par"/>
        <w:ind w:left="0"/>
      </w:pPr>
      <w:r>
        <w:rPr>
          <w:b/>
        </w:rPr>
        <w:t xml:space="preserve">Installation, connexion... Et le tour est joué.</w:t>
      </w:r>
    </w:p>
    <w:p>
      <w:pPr>
        <w:pStyle w:val="par"/>
        <w:ind w:left="0"/>
      </w:pPr>
      <w:r>
        <w:rPr/>
        <w:t xml:space="preserve">Le nouveau module à touches s’intègre aisément aux bus de terrain ouverts et présente des caractéristiques optimales sur le plan de la communication. Sa grande compacité fait gagner un espace précieux dans l’armoire électrique. C’est en encapsulant l’électronique à l’arrière de l’appareil et en éliminant ainsi le boîtier de protection habituel pour ce genre d’appareil que B&amp;R est parvenu à rendre ce module aussi compact. Les connexions M8 et M12 dont sont dotées ce module facilitent le montage, contribuant ainsi à l’optimisation des coûts.</w:t>
      </w:r>
    </w:p>
    <w:p/>
    <w:bookmarkStart w:id="6" w:name="_XREFN10032"/>
    <w:bookmarkStart w:id="7" w:name="_XREFN10037"/>
    <w:p>
      <w:pPr>
        <w:keepNext/>
        <w:spacing w:after="20" w:before="0"/>
        <w:ind w:left="0"/>
      </w:pPr>
      <w:r>
        <w:drawing>
          <wp:inline xmlns:wp="http://schemas.openxmlformats.org/drawingml/2006/wordprocessingDrawing" distB="0" distL="0" distR="0" distT="0">
            <wp:extent cx="3600000" cy="2216088"/>
            <wp:effectExtent b="0" l="0" r="0" t="0"/>
            <wp:docPr id="1" name="BuR_keypad modu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uR_keypad module"/>
                    <pic:cNvPicPr/>
                  </pic:nvPicPr>
                  <pic:blipFill>
                    <a:blip xmlns:r="http://schemas.openxmlformats.org/officeDocument/2006/relationships" cstate="print" r:embed="N10385"/>
                    <a:stretch>
                      <a:fillRect/>
                    </a:stretch>
                  </pic:blipFill>
                  <pic:spPr>
                    <a:xfrm>
                      <a:off x="0" y="0"/>
                      <a:ext cx="3600000" cy="2216088"/>
                    </a:xfrm>
                    <a:prstGeom prst="rect">
                      <a:avLst/>
                    </a:prstGeom>
                  </pic:spPr>
                </pic:pic>
              </a:graphicData>
            </a:graphic>
          </wp:inline>
        </w:drawing>
      </w:r>
    </w:p>
    <w:p>
      <w:pPr>
        <w:pStyle w:val="media-caption"/>
        <w:ind w:left="0"/>
      </w:pPr>
      <w:r>
        <w:t xml:space="preserve">Le nouveau module à touches de B&amp;R Conception stylée et résistant aux environnements industriels.</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06" w:type="default"/>
      <w:footerReference xmlns:r="http://schemas.openxmlformats.org/officeDocument/2006/relationships" r:id="N1049A"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6D"/>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06" Target="header1.xml" Type="http://schemas.openxmlformats.org/officeDocument/2006/relationships/header"/><Relationship Id="N1049A" Target="footer1.xml" Type="http://schemas.openxmlformats.org/officeDocument/2006/relationships/footer"/><Relationship Id="N10385" Target="media/N10385.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6D" Target="media/N1046D.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