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L'offre moteurs de B&amp;R s'enrichit</w:t>
      </w:r>
    </w:p>
    <w:p>
      <w:pPr>
        <w:pStyle w:val="label-first"/>
        <w:keepNext/>
        <w:ind w:left="0"/>
      </w:pPr>
      <w:r>
        <w:rPr>
          <w:b/>
          <w:sz w:val="20"/>
        </w:rPr>
        <w:t xml:space="preserve">B&amp;R et Baumüller signent un contrat-cadre de livraison à long terme</w:t>
      </w:r>
    </w:p>
    <w:p>
      <w:pPr>
        <w:pStyle w:val="par-first"/>
        <w:ind w:left="0"/>
        <w:jc w:val="left"/>
      </w:pPr>
      <w:r>
        <w:rPr>
          <w:i/>
          <w:i/>
        </w:rPr>
        <w:t xml:space="preserve">Eggelsberg</w:t>
      </w:r>
      <w:r>
        <w:rPr>
          <w:i/>
          <w:i/>
        </w:rPr>
        <w:t xml:space="preserve"> – Le 21 mai dernier, les entreprises Baumüller et B&amp;R ont signé un contrat-cadre de livraison. Cette coopération scellée par Hans Wimmer et Peter Schuch de B&amp;R ainsi que par Norbert Scholz et Ralf Dietrich de Baumüller permettra aux clients de bénéficier de l’expertise des deux fournisseurs. B&amp;R utilisera les moteurs des séries DSC, DSD et DS de Baumüller. « Avec les moteurs de Baumüller, nous étendons l’éventail de puissance de notre offre moteurs jusqu’à 140 kW, » indique le directeur général de B&amp;R, Hans Wimmer. « Cette coopération témoigne de la qualité et de la performance des produits Baumüller. Pour les deux entreprises, c'est une situation gagnant-gagnant, » commente le directeur général de Baumüller, Ralf Dietrich.</w:t>
      </w:r>
    </w:p>
    <w:p/>
    <w:bookmarkStart w:id="3" w:name="_XREFN10032"/>
    <w:bookmarkStart w:id="4" w:name="_XREFN10037"/>
    <w:p>
      <w:pPr>
        <w:keepNext/>
        <w:spacing w:after="20" w:before="0"/>
        <w:ind w:left="0"/>
      </w:pPr>
      <w:r>
        <w:drawing>
          <wp:inline xmlns:wp="http://schemas.openxmlformats.org/drawingml/2006/wordprocessingDrawing" distB="0" distL="0" distR="0" distT="0">
            <wp:extent cx="3600000" cy="2265123"/>
            <wp:effectExtent b="0" l="0" r="0" t="0"/>
            <wp:docPr id="1" name="BuR_PR12008_Rahmenliefervertrag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08_Rahmenliefervertrag_high"/>
                    <pic:cNvPicPr/>
                  </pic:nvPicPr>
                  <pic:blipFill>
                    <a:blip xmlns:r="http://schemas.openxmlformats.org/officeDocument/2006/relationships" cstate="print" r:embed="N10362"/>
                    <a:stretch>
                      <a:fillRect/>
                    </a:stretch>
                  </pic:blipFill>
                  <pic:spPr>
                    <a:xfrm>
                      <a:off x="0" y="0"/>
                      <a:ext cx="3600000" cy="2265123"/>
                    </a:xfrm>
                    <a:prstGeom prst="rect">
                      <a:avLst/>
                    </a:prstGeom>
                  </pic:spPr>
                </pic:pic>
              </a:graphicData>
            </a:graphic>
          </wp:inline>
        </w:drawing>
      </w:r>
    </w:p>
    <w:p>
      <w:pPr>
        <w:pStyle w:val="media-caption"/>
        <w:ind w:left="0"/>
      </w:pPr>
      <w:r>
        <w:t xml:space="preserve">Coopération : Baumüller et B&amp;R ont signé un contrat-cadre de livraison à long terme, étendant ainsi l’offre moteurs de B&amp;R avec des puissances allant jusqu’à 140 kW.</w:t>
      </w:r>
    </w:p>
    <w:bookmarkEnd w:id="4"/>
    <w:bookmarkEnd w:id="3"/>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3E3" w:type="default"/>
      <w:footerReference xmlns:r="http://schemas.openxmlformats.org/officeDocument/2006/relationships" r:id="N1047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4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E3" Target="header1.xml" Type="http://schemas.openxmlformats.org/officeDocument/2006/relationships/header"/><Relationship Id="N10477" Target="footer1.xml" Type="http://schemas.openxmlformats.org/officeDocument/2006/relationships/footer"/><Relationship Id="N10362" Target="media/N10362.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4A" Target="media/N1044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