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Novos motores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e a Baumüller estabeleceram um contrato de longo prazo de fornecimento de estrutura</w:t>
      </w:r>
    </w:p>
    <w:p>
      <w:pPr>
        <w:pStyle w:val="par-first"/>
        <w:ind w:left="0"/>
        <w:jc w:val="left"/>
      </w:pPr>
      <w:r>
        <w:rPr>
          <w:i/>
          <w:i/>
        </w:rPr>
        <w:t xml:space="preserve">Eggelsberg - </w:t>
      </w:r>
      <w:r>
        <w:rPr>
          <w:i/>
          <w:i/>
        </w:rPr>
        <w:t xml:space="preserve">Em 21 de maio, a Baumüller e a B&amp;R assinaram um contrato-quadro para solidificar a cooperação estabelecida por Hans Wimmer e Peter Schuch da B&amp;R e Norbert Scholz e Ralf Dietrich da Baumüller. Os clientes agora lucrarão com os conhecimentos combinados dos dois fornecedores de sistemas. No futuro, a B&amp;R aproveitará a abrangente seleção de motores da Baumüller, tirada de suas séries DSC, DSD e DS. "Os motores da Baumüller irão expandir nossa faixa de desempenho até 140 kW", diz Hans Wimmer, diretor-gerente da B&amp;R. "Esta cooperação diz muito sobre a qualidade e o desempenho dos produtos Baumüller. Esta é uma situação clássica Win-Win para ambas as empresas", diz Ralf Dietrich, gerente geral da Baumüller.</w:t>
      </w:r>
    </w:p>
    <w:p/>
    <w:bookmarkStart w:id="3" w:name="_XREFN10032"/>
    <w:bookmarkStart w:id="4" w:name="_XREFN1003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265123"/>
            <wp:effectExtent b="0" l="0" r="0" t="0"/>
            <wp:docPr id="1" name="BuR_PR12008_Rahmenliefervertrag_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2008_Rahmenliefervertrag_high"/>
                    <pic:cNvPicPr/>
                  </pic:nvPicPr>
                  <pic:blipFill>
                    <a:blip xmlns:r="http://schemas.openxmlformats.org/officeDocument/2006/relationships" cstate="print" r:embed="N1036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6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Cooperação: a Baumüller e a B&amp;R assinaram um contrato de longo prazo de abastecimento de estrutura - expansão dos motores B&amp;R para potências de até 140 kW.</w:t>
      </w:r>
    </w:p>
    <w:bookmarkEnd w:id="4"/>
    <w:bookmarkEnd w:id="3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3E3" w:type="default"/>
      <w:footerReference xmlns:r="http://schemas.openxmlformats.org/officeDocument/2006/relationships" r:id="N10477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4A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E3" Target="header1.xml" Type="http://schemas.openxmlformats.org/officeDocument/2006/relationships/header"/><Relationship Id="N10477" Target="footer1.xml" Type="http://schemas.openxmlformats.org/officeDocument/2006/relationships/footer"/><Relationship Id="N10362" Target="media/N10362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4A" Target="media/N1044A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