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Trendy rozwoju technologii w ujęciu praktycznym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Tematem przewodnim tegorocznej edycji organizowanego przez B&amp;R Spotkania Użytkowników były sposoby tworzenia przewagi konkurencyjnej.</w:t>
      </w:r>
    </w:p>
    <w:p>
      <w:pPr>
        <w:pStyle w:val="par-first"/>
        <w:ind w:left="0"/>
        <w:jc w:val="left"/>
      </w:pPr>
      <w:r>
        <w:rPr>
          <w:i/>
          <w:i/>
        </w:rPr>
        <w:t xml:space="preserve">Salzburg</w:t>
      </w:r>
      <w:r>
        <w:rPr>
          <w:i/>
          <w:i/>
        </w:rPr>
        <w:t xml:space="preserve">Z okazji zapoznania się z najnowocześniejszymi rozwiązaniami w technologii automatyzacji skorzystało ok. 270 producentów maszyn i systemów. Ponad 20 zaproszonych prelegentów, w tym ekspertów i badaczy z różnych dziedzin przemysłu, dzieliło się ze słuchaczami swoim praktycznym doświadczeniem oraz spostrzeżeniami prowokującymi do dalszych przemyśleń i dyskusji.</w:t>
      </w:r>
    </w:p>
    <w:p>
      <w:pPr>
        <w:pStyle w:val="par"/>
        <w:ind w:left="0"/>
      </w:pPr>
      <w:r>
        <w:rPr/>
        <w:t xml:space="preserve">Dążenie do uzyskania przewagi konkurencyjnej już na trwałe wpisało się w działania producentów maszyn i systemów. Wiodącą kwestią absorbującą uczestników odbywającego się w Salzburgu Spotkania Użytkowników był sposób, w jaki producenci maszyn i systemów mogą jak najlepiej przygotować się do zachowania konkurencyjności w przyszłości. Podstawowe wymagania podsumował Hermann Obermair, Menedżer ds. sprzedaży w B&amp;R Austria. Głównym celem jest zwiększenie wydajności produkcji. Dążąc do tego celu należy zachować stabilność i powtarzalność produktów procesów produkcyjnych. Należy jednocześnie ograniczać do minimum przestoje oraz koszty konserwacji. Szybkie przestawienie na inny produkt wymaga stosowania elastycznych i wielofunkcyjnych maszyn. B&amp;R dostarcza swoim partnerom zajmującym się produkcją maszyn i systemów kompletne rozwiązania spełniające wszystkie powyższe wymagania.</w:t>
      </w:r>
    </w:p>
    <w:p>
      <w:pPr>
        <w:pStyle w:val="par"/>
        <w:ind w:left="0"/>
      </w:pPr>
      <w:r>
        <w:rPr>
          <w:b/>
        </w:rPr>
        <w:t xml:space="preserve">Innowacyjne produkty i rozwiązania</w:t>
      </w:r>
    </w:p>
    <w:p>
      <w:pPr>
        <w:pStyle w:val="par"/>
        <w:ind w:left="0"/>
      </w:pPr>
      <w:r>
        <w:rPr/>
        <w:t xml:space="preserve">The agenda also included numerous new developments, including the new version of B&amp;R's development environment, Automation Studio 4, as well as the decentralized servo actuator, ACOPOSmotor.. In July B&amp;R is also launching a new high-end industrial PC, the Automation PC 910, equipped with the third generation of Intel® CoreTM i5/i7 processors.</w:t>
      </w:r>
    </w:p>
    <w:p>
      <w:pPr>
        <w:pStyle w:val="par"/>
        <w:ind w:left="0"/>
      </w:pPr>
      <w:r>
        <w:rPr/>
        <w:t xml:space="preserve">Na ostatni kwartał roku 2012 planowane jest wprowadzenie na rynek systemu sterowania APROL R3.8, który dzięki wykorzystaniu wielowątkowego serwera pozwala na zdecentralizowanie automatyki w ramach pojedynczego projektu. Wydajny i redundantny system sterowania zwiększa dostępność w ramach całego układu.</w:t>
      </w:r>
    </w:p>
    <w:p>
      <w:pPr>
        <w:pStyle w:val="par"/>
        <w:ind w:left="0"/>
      </w:pPr>
      <w:r>
        <w:rPr/>
        <w:t xml:space="preserve">Wybiegające w przyszłość produkty i rozwiązania są kluczowymi czynnikami decydujący mi o globalnym sukcesie producentów maszyn i systemów - z kolei jakość i niezawodność determinują działalność bieżącą. W każdym jednak wypadku oferowane przez B&amp;R innowacje kryją w sobie niesamowity potencjał tworzenia przewagi konkurencyjnej.</w:t>
      </w:r>
    </w:p>
    <w:p>
      <w:pPr>
        <w:pStyle w:val="par"/>
        <w:ind w:left="0"/>
      </w:pPr>
      <w:r>
        <w:rPr>
          <w:b/>
        </w:rPr>
        <w:t xml:space="preserve">Gotowi na sukces</w:t>
      </w:r>
    </w:p>
    <w:p>
      <w:pPr>
        <w:pStyle w:val="par"/>
        <w:ind w:left="0"/>
      </w:pPr>
      <w:r>
        <w:rPr/>
        <w:t xml:space="preserve">Dążąc do osiągnięcia na globalnym rynku długotrwałego sukcesu, producenci maszyn i systemów muszą podczas opracowywania produktów stawić czoła określonym wyzwaniom. W trakcie Spotkania Użytkowników Dr Rainer Stetter z firmy ITQ omówił znaczenie spójnej i bezproblemowej interakcji poszczególnych obszarów technologicznych, a więc zagadnień mechanicznych, elektrycznych i programistycznych.</w:t>
      </w:r>
    </w:p>
    <w:p>
      <w:pPr>
        <w:pStyle w:val="par"/>
        <w:ind w:left="0"/>
      </w:pPr>
      <w:r>
        <w:rPr/>
        <w:t xml:space="preserve">Dr Stetter zauważył, że inżynierowie odpowiedzialni za mechanikę nie mogą już dłużej stanowić jedynej siły napędowej dla rozwoju, i że ze wsparcie programistów należy uzyskiwać we wcześniejszych etapach projektu. Przepis na sukces polega interdyscyplinarnej współpracy. Wciąż jednak niewielu producentów i systemów obiera taką drogę. Nadal jednak wielu z nich porusza się w koleinach tradycyjnych rozwiązań deweloperskich.</w:t>
      </w:r>
    </w:p>
    <w:p>
      <w:pPr>
        <w:pStyle w:val="par"/>
        <w:ind w:left="0"/>
      </w:pPr>
      <w:r>
        <w:rPr/>
        <w:t xml:space="preserve">Aby jednak wyróżnić się na tle coraz silniejszej konkurencji producenci zmuszeni będą skierować uwagę na modularność i interdyscyplinarność - szczególnie, jeśli weźmie się pod uwagę nacisk ze strony państw będących do tej pory importerami, a które gwałtownie rozwijają się w kierunku eksportu, jak np. Chiny czy Indie. Oczekiwania rynku rozwijają się szybko, wręcz gwałtownie; sprawna reakcja producentów maszyn i systemów na zmieniającą się sytuację wymaga przyjęcia elastycznych strategii rozwojowych, uważa Dr Stetter: "Utrzymać się na szczycie jest trudniej, niż się tam dostać."</w:t>
      </w:r>
    </w:p>
    <w:p>
      <w:pPr>
        <w:pStyle w:val="par"/>
        <w:ind w:left="0"/>
      </w:pPr>
      <w:r>
        <w:rPr>
          <w:b/>
        </w:rPr>
        <w:t xml:space="preserve">Gorące tematy</w:t>
      </w:r>
    </w:p>
    <w:p>
      <w:pPr>
        <w:pStyle w:val="par"/>
        <w:ind w:left="0"/>
      </w:pPr>
      <w:r>
        <w:rPr/>
        <w:t xml:space="preserve">Wrażenia i opinie uczestników zorganizowanego przez B&amp;R Spotkania Użytkowników są zdecydowanie pozytywne. Inteligentna inżynieria nie była jedynym, cieszącym się takim zainteresowaniem tematem; tematyka poruszana przez innych zaproszonych gości spotkała się z równie żywym przyjęciem. Wśród tych tematów można wymienić chociażby kwestie możliwości wykorzystania systemów, ochronę elektromagnetyczną oraz monitorowanie stanu i zużycia energii. Po raz kolejny zorganizowane przez B&amp;R Spotkanie Użytkowników okazało się doskonałym forum do dzielenia się innowacyjnymi koncepcjami i omawiania najnowocześniejszych produktów i rozwiązań.</w:t>
      </w:r>
    </w:p>
    <w:p/>
    <w:bookmarkStart w:id="14" w:name="_XREFN10067"/>
    <w:bookmarkStart w:id="15" w:name="_XREFN1006C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200"/>
            <wp:effectExtent b="0" l="0" r="0" t="0"/>
            <wp:docPr id="1" name="BuR_PR12006_User Meeting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06_User Meeting_hires"/>
                    <pic:cNvPicPr/>
                  </pic:nvPicPr>
                  <pic:blipFill>
                    <a:blip xmlns:r="http://schemas.openxmlformats.org/officeDocument/2006/relationships" cstate="print" r:embed="N1040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Uczestnicy Spotkania Użytkowników mieli okazję wysłuchać 20 gościnnie występujących prelegentów, w tym ekspertów i badaczy specjalizujących się w wielu gałęziach przemysłu, którzy omówili najnowsze trendy oraz najbardziej zasługujące na uwagę technologie. W ramach spotkania można też było zapoznać się z najświeższymi, ekscytującymi innowacjami opracowanymi przez B&amp;R.</w:t>
      </w:r>
    </w:p>
    <w:bookmarkEnd w:id="15"/>
    <w:bookmarkEnd w:id="14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8B" w:type="default"/>
      <w:footerReference xmlns:r="http://schemas.openxmlformats.org/officeDocument/2006/relationships" r:id="N1051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F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8B" Target="header1.xml" Type="http://schemas.openxmlformats.org/officeDocument/2006/relationships/header"/><Relationship Id="N1051F" Target="footer1.xml" Type="http://schemas.openxmlformats.org/officeDocument/2006/relationships/footer"/><Relationship Id="N1040A" Target="media/N1040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F2" Target="media/N104F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