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Tendências tecnológicas atendem a experiência prática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A reunião deste ano de usuários da B&amp;R foi focada em um tema chave: gerar vantagem competitiva.</w:t>
      </w:r>
    </w:p>
    <w:p>
      <w:pPr>
        <w:pStyle w:val="par-first"/>
        <w:ind w:left="0"/>
        <w:jc w:val="left"/>
      </w:pPr>
      <w:r>
        <w:rPr>
          <w:i/>
          <w:i/>
        </w:rPr>
        <w:t xml:space="preserve"> Salzburg - </w:t>
      </w:r>
      <w:r>
        <w:rPr>
          <w:i/>
          <w:i/>
        </w:rPr>
        <w:t xml:space="preserve">Cerca de 270 fabricantes de máquinas e sistemas aproveitaram uma oportunidade para aprender sobre as mais recentes soluções inovadoras no campo da tecnologia de automação. Mais de 20 palestrantes convidados, incluindo especialistas e pesquisadores de toda a indústria, compartilharam sua experiência prática e idéias de reflexão.</w:t>
      </w:r>
    </w:p>
    <w:p>
      <w:pPr>
        <w:pStyle w:val="par"/>
        <w:ind w:left="0"/>
      </w:pPr>
      <w:r>
        <w:rPr/>
        <w:t xml:space="preserve">A busca da vantagem competitiva não é um novo conceito para os fabricantes de máquinas e sistemas. A principal questão na agenda do encontro de usuários do B&amp;R em Salzburgo foi "Como os fabricantes de máquinas e sistemas podem se posicionar melhor para serem competitivos no futuro?" Hermann Obermair, Gerente de Vendas, B&amp;R Áustria, resumiu os principais requisitos. O principal objetivo é aumentar a produção. Ao fazê-lo, produtos e processos de fabricação devem permanecer estáveis e reproduzíveis.</w:t>
      </w:r>
    </w:p>
    <w:p>
      <w:pPr>
        <w:pStyle w:val="par"/>
        <w:ind w:left="0"/>
      </w:pPr>
      <w:r>
        <w:rPr/>
        <w:t xml:space="preserve">Ao mesmo tempo, o tempo de inatividade deve ser minimizado e os custos de manutenção reduzidos. As máquinas precisam ser flexíveis e multifuncionais para fornecer mudanças rápidas. A B&amp;R oferece aos seus fabricantes de máquinas e sistemas soluções completas que atendem a todos esses requisitos.</w:t>
      </w:r>
    </w:p>
    <w:p>
      <w:pPr>
        <w:pStyle w:val="par"/>
        <w:ind w:left="0"/>
      </w:pPr>
      <w:r>
        <w:rPr>
          <w:b/>
        </w:rPr>
        <w:t xml:space="preserve">Produtos e soluções inovadores</w:t>
      </w:r>
    </w:p>
    <w:p>
      <w:pPr>
        <w:pStyle w:val="par"/>
        <w:ind w:left="0"/>
      </w:pPr>
      <w:r>
        <w:rPr/>
        <w:t xml:space="preserve">A agenda também incluiu inúmeros novos desenvolvimentos, incluindo a nova versão do ambiente de desenvolvimento do B&amp;R, o Automation Studio 4, bem como o servo atuador descentralizado, o ACOPOSmotor. Em julho, a B&amp;R também está lançando um novo PC industrial high-end, o Automation PC 910, equipado com a terceira geração de processadores Intel® CoreTM i5 / i7.</w:t>
      </w:r>
    </w:p>
    <w:p>
      <w:pPr>
        <w:pStyle w:val="par"/>
        <w:ind w:left="0"/>
      </w:pPr>
      <w:r>
        <w:rPr/>
        <w:t xml:space="preserve">O quarto trimestre de 2012 verá a introdução do APROL R3.8, que usa um servidor multi-runtime para habilitar a automação descentralizada dentro de um projeto. Uma nova e poderosa solução de controle redundante aumenta a disponibilidade em todo o sistema.</w:t>
      </w:r>
    </w:p>
    <w:p>
      <w:pPr>
        <w:pStyle w:val="par"/>
        <w:ind w:left="0"/>
      </w:pPr>
      <w:r>
        <w:rPr/>
        <w:t xml:space="preserve">Produtos e soluções avançadas são essenciais para o sucesso mundial dos fabricantes de máquinas e sistemas, enquanto a qualidade e a robustez têm um impacto direto na operação do dia-a-dia. Em todo o lado, as inovações da B&amp;R possuem imenso potencial para gerar vantagem competitiva.</w:t>
      </w:r>
    </w:p>
    <w:p>
      <w:pPr>
        <w:pStyle w:val="par"/>
        <w:ind w:left="0"/>
      </w:pPr>
      <w:r>
        <w:rPr>
          <w:b/>
        </w:rPr>
        <w:t xml:space="preserve">Preparados para o sucesso</w:t>
      </w:r>
    </w:p>
    <w:p>
      <w:pPr>
        <w:pStyle w:val="par"/>
        <w:ind w:left="0"/>
      </w:pPr>
      <w:r>
        <w:rPr/>
        <w:t xml:space="preserve">Ao posicionar-se para o sucesso a longo prazo no mercado global, os fabricantes de máquinas e sistemas enfrentam desafios particulares quando se trata de desenvolvimento de produtos. Na Reunião de Usuários, o Dr. Rainer Stetter da ITQ abordou a necessidade de uma interação mais perfeita entre as disciplinas individuais de engenharia - mecânica, elétrica e software.</w:t>
      </w:r>
    </w:p>
    <w:p>
      <w:pPr>
        <w:pStyle w:val="par"/>
        <w:ind w:left="0"/>
      </w:pPr>
      <w:r>
        <w:rPr/>
        <w:t xml:space="preserve">Os engenheiros mecânicos não podem mais servir como a única força motriz no desenvolvimento, apontou Stetter, e os engenheiros de software precisam ser chamados muito mais cedo no jogo. A colaboração interdisciplinar é a receita para o sucesso. No momento, no entanto, poucos fabricantes de máquinas e sistemas fizeram a mudança nesta direção. Em vez disso, muitos permanecem entrincheirados nas estruturas tradicionais de desenvolvimento.</w:t>
      </w:r>
    </w:p>
    <w:p>
      <w:pPr>
        <w:pStyle w:val="par"/>
        <w:ind w:left="0"/>
      </w:pPr>
      <w:r>
        <w:rPr/>
        <w:t xml:space="preserve">No entanto, apenas quando os fabricantes se comprometem com a modularidade e o intercâmbio interdisciplinar estarão em condições de se destacarem em concorrência crescente - especialmente com os países anteriormente importados, como a China e a Índia, que se desenvolvem rapidamente em países de exportação. As demandas do mercado estão se desenvolvendo de forma rápida e dramática; Os fabricantes de máquinas e sistemas precisam de estratégias de desenvolvimento ágeis para reagir de forma eficaz, de acordo com Stetter, que conclui com algumas palavras de cautela: "É mais difícil ficar no topo do que realmente conseguir lá".</w:t>
      </w:r>
    </w:p>
    <w:p>
      <w:pPr>
        <w:pStyle w:val="par"/>
        <w:ind w:left="0"/>
      </w:pPr>
      <w:r>
        <w:rPr>
          <w:b/>
        </w:rPr>
        <w:t xml:space="preserve">Tópicos em evidência</w:t>
      </w:r>
    </w:p>
    <w:p>
      <w:pPr>
        <w:pStyle w:val="par"/>
        <w:ind w:left="0"/>
      </w:pPr>
      <w:r>
        <w:rPr/>
        <w:t xml:space="preserve">Os comentários dos participantes da reunião do usuário da B&amp;R foram extremamente positivos. No entanto, a engenharia inteligente não foi o único destaque. Os tópicos apresentados pelos outros oradores convidados foram encontrados com igual ressonância. Estes incluíram questões como usabilidade, EMC, além de monitoramento de condições e energia. Mais uma vez, o B&amp;R User Meeting se distinguiu como um fórum para idéias inovadoras, bem como produtos e soluções de ponta. </w:t>
      </w:r>
    </w:p>
    <w:p/>
    <w:bookmarkStart w:id="15" w:name="_XREFN10067"/>
    <w:bookmarkStart w:id="16" w:name="_XREFN1006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200"/>
            <wp:effectExtent b="0" l="0" r="0" t="0"/>
            <wp:docPr id="1" name="BuR_PR12006_User Meeting_h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PR12006_User Meeting_hires"/>
                    <pic:cNvPicPr/>
                  </pic:nvPicPr>
                  <pic:blipFill>
                    <a:blip xmlns:r="http://schemas.openxmlformats.org/officeDocument/2006/relationships" cstate="print" r:embed="N104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Os participantes do User Meeting ouviram mais de 20 palestrantes convidados, incluindo especialistas e pesquisadores de todo o setor, que discutiram sobre as últimas tendências e tópicos tecnológicos significativos. Eles também tiveram uma visão rápida das últimas inovações empolgantes provenientes da B&amp;R.</w:t>
      </w:r>
    </w:p>
    <w:bookmarkEnd w:id="16"/>
    <w:bookmarkEnd w:id="1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9A" w:type="default"/>
      <w:footerReference xmlns:r="http://schemas.openxmlformats.org/officeDocument/2006/relationships" r:id="N1052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9A" Target="header1.xml" Type="http://schemas.openxmlformats.org/officeDocument/2006/relationships/header"/><Relationship Id="N1052E" Target="footer1.xml" Type="http://schemas.openxmlformats.org/officeDocument/2006/relationships/footer"/><Relationship Id="N10419" Target="media/N1041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1" Target="media/N1050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