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B&amp;R apresenta novas e impressionantes soluções na ACHEMA 2012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Funcionalidade estendida com o sistema de controle de processos APROL</w:t>
      </w:r>
    </w:p>
    <w:p>
      <w:pPr>
        <w:pStyle w:val="par"/>
        <w:ind w:left="0"/>
      </w:pPr>
      <w:r>
        <w:rPr/>
        <w:t xml:space="preserve">(Bad Homburg, 21 de Junho, 2012)</w:t>
      </w:r>
      <w:r>
        <w:rPr/>
        <w:t xml:space="preserve"> – Na ACHEMA deste ano em Frankfurt am Main, a B&amp;R mais uma vez demonstrou a sua força como um fornecedor de sistemas completos de controle de processo e tecnologia de CLP. Além dos produtos mais comuns no campo da automação industrial, também apresentou seus mais recentes desenvolvimentos na área de automação de processos. Duas coisas definem o sistema de controle de processo APROL além da concorrência: as suas características únicas e e sua capacidade de lidar com uma ampla variedade de aplicações e ambientes industriais. "Este sistema completo cobre tudo, desde a fabricação do sistema até a automação da planta e pode lidar facilmente com complexos processos de aplicações de sistemas de controle", diz Stefan Lau, gerente de vendas para a automação de processos em Bad Homburg.</w:t>
      </w:r>
    </w:p>
    <w:p>
      <w:pPr>
        <w:pStyle w:val="par"/>
        <w:ind w:left="0"/>
      </w:pPr>
      <w:r>
        <w:rPr/>
        <w:t xml:space="preserve">Com novas funções de controle de processo, a B&amp;R aumenta sua gama de produtos e serviços na área de automação de processos. Uma dessas funções envolve sistemas de redundância de controlador poderosos que fazem backup de processos críticos em milissegundos. Além disso, a biblioteca de processo avançada "Advanced Process Control" permite a aplicação de algoritmos de controle complexos usando controladores preditivos. A linguagem de programação da Sequential Function Chart que agora está implementada avança ainda as possibilidades de processamento em lote do sistema de controle de processo da APROL.</w:t>
      </w:r>
    </w:p>
    <w:p>
      <w:pPr>
        <w:pStyle w:val="par"/>
        <w:ind w:left="0"/>
      </w:pPr>
      <w:r>
        <w:rPr/>
        <w:t xml:space="preserve">Também foi desenvolvida uma extensa solução de monitoramento de energia que suporta conformidade com o padrão de gerenciamento de energia ISO 50001. O módulo de medição de energia X20AP recém-projetado também está disponível para monitoramento de energia e análise de rede elétrica. Com o APROL Energy Monitoring (EnMon), a B &amp; R oferece aos usuários um aplicativo que pode ser imediatamente usado para registrar e avaliar facilmente dados de energia.</w:t>
      </w:r>
    </w:p>
    <w:p>
      <w:pPr>
        <w:pStyle w:val="par"/>
        <w:ind w:left="0"/>
      </w:pPr>
      <w:r>
        <w:rPr/>
        <w:t xml:space="preserve">"Estamos muito felizes pelo fato de tantos visitantes mostrarem interesse em nossas soluções", diz Martin Reichinger, gerente de negócios para automação de processos em Eggelsberg, comentando o sucesso na feira ACHEMA 2012. O público ficou especialmente impressionado com três coisas que caracterizaram todas essas soluções da B&amp;R: sua versatilidade, sua abertura e sua escalabilidade.  </w:t>
      </w:r>
    </w:p>
    <w:p/>
    <w:bookmarkStart w:id="7" w:name="_XREFN10062"/>
    <w:bookmarkStart w:id="8" w:name="_XREFN1006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048000" cy="2029968"/>
            <wp:effectExtent b="0" l="0" r="0" t="0"/>
            <wp:docPr id="1" name="BuR_PR12029_Achema_Nachber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029_Achema_Nachbericht"/>
                    <pic:cNvPicPr/>
                  </pic:nvPicPr>
                  <pic:blipFill>
                    <a:blip xmlns:r="http://schemas.openxmlformats.org/officeDocument/2006/relationships" cstate="print" r:embed="N1038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nova solução de monitoramento de energia da APROL – EnMon – é apenas uma das inovações da B&amp;R apresentadas por Martin Reichinger (esquerda) e Stefan Lau na ACHEMA.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8" w:type="default"/>
      <w:footerReference xmlns:r="http://schemas.openxmlformats.org/officeDocument/2006/relationships" r:id="N1049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8" Target="header1.xml" Type="http://schemas.openxmlformats.org/officeDocument/2006/relationships/header"/><Relationship Id="N1049C" Target="footer1.xml" Type="http://schemas.openxmlformats.org/officeDocument/2006/relationships/footer"/><Relationship Id="N10387" Target="media/N1038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F" Target="media/N1046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