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L'ARC Advisory Group s'exprime à propos d'openSAFETY</w:t>
      </w:r>
    </w:p>
    <w:p>
      <w:pPr>
        <w:pStyle w:val="label-first"/>
        <w:keepNext/>
        <w:ind w:left="0"/>
      </w:pPr>
      <w:r>
        <w:rPr>
          <w:b/>
          <w:sz w:val="20"/>
        </w:rPr>
        <w:t xml:space="preserve">Protocole de sécurité unitaire augmentant l'efficacité des lignes de production</w:t>
      </w:r>
    </w:p>
    <w:p>
      <w:pPr>
        <w:pStyle w:val="par-first"/>
        <w:ind w:left="0"/>
        <w:jc w:val="left"/>
      </w:pPr>
      <w:r>
        <w:rPr>
          <w:i/>
          <w:i/>
        </w:rPr>
        <w:t xml:space="preserve">En avril 2012, dans la lettre d'information ARCwire Industry News Analysis, David Humphrey de l'ARC Advisory Group a publié un article sur openSAFETY  intitulé "openSAFETY, une initiative visant l'unification des protocoles de sécurité". Dans cet article, il reconnaît que le protocole openSAFETY est en mesure de révolutionner la communication intermachines dans les lignes de production.</w:t>
      </w:r>
    </w:p>
    <w:p>
      <w:pPr>
        <w:pStyle w:val="par"/>
        <w:ind w:left="0"/>
      </w:pPr>
      <w:r>
        <w:rPr/>
        <w:t xml:space="preserve">L'analyse rend compte des activités des grands utilisateurs d'automatismes comme Nestlé et des consortiums comme l'OMAC pour aboutir à la spécification d'un standard universel d'interface de sécurité. Ces industriels reconnaissent que l'absence d'un protocole de sécurité commun et intermachines diminue la valeur ajoutée d'une ligne de production intégrée. Par ailleurs, un protocole de sécurité unitaire, indépendant du matériel et légalement ouvert comme openSAFETY réduit l'effort d'intégration des lignes, tout en augmentant la sécurité globale des installations ainsi que le taux de rendement synthétique (efficacité d'une ligne de production). Société fondée en 1986, l'ARC Advisory Group se classe parmi les leaders mondiaux du conseil et de l'étude technologiques pour l'industrie et les infrastructures. </w:t>
      </w:r>
    </w:p>
    <w:p/>
    <w:bookmarkStart w:id="4" w:name="_XREFN10071"/>
    <w:bookmarkStart w:id="5" w:name="_XREFN10076"/>
    <w:p>
      <w:pPr>
        <w:keepNext/>
        <w:spacing w:after="20" w:before="0"/>
        <w:ind w:left="0"/>
      </w:pPr>
      <w:r>
        <w:drawing>
          <wp:inline xmlns:wp="http://schemas.openxmlformats.org/drawingml/2006/wordprocessingDrawing" distB="0" distL="0" distR="0" distT="0">
            <wp:extent cx="3600000" cy="4943236"/>
            <wp:effectExtent b="0" l="0" r="0" t="0"/>
            <wp:docPr id="1" name="David Humph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vid Humphrey"/>
                    <pic:cNvPicPr/>
                  </pic:nvPicPr>
                  <pic:blipFill>
                    <a:blip xmlns:r="http://schemas.openxmlformats.org/officeDocument/2006/relationships" cstate="print" r:embed="N10366"/>
                    <a:stretch>
                      <a:fillRect/>
                    </a:stretch>
                  </pic:blipFill>
                  <pic:spPr>
                    <a:xfrm>
                      <a:off x="0" y="0"/>
                      <a:ext cx="3600000" cy="4943236"/>
                    </a:xfrm>
                    <a:prstGeom prst="rect">
                      <a:avLst/>
                    </a:prstGeom>
                  </pic:spPr>
                </pic:pic>
              </a:graphicData>
            </a:graphic>
          </wp:inline>
        </w:drawing>
      </w:r>
    </w:p>
    <w:p>
      <w:pPr>
        <w:pStyle w:val="media-caption"/>
        <w:ind w:left="0"/>
      </w:pPr>
      <w:r>
        <w:t xml:space="preserve">Dans une analyse sectorielle venant d'être publiée, David Humphrey, de l'ARC Advisory Group, constate qu'un protocole de sécurité unitaire, indépendant du matériel et ouvert sur le plan juridique comme openSAFETY réduit l'effort d'intégration des lignes, tout en améliorant la sécurité globale des installations ainsi que l'efficacité des équipements. (Source : ARC Advisory Group)</w:t>
      </w:r>
    </w:p>
    <w:bookmarkEnd w:id="5"/>
    <w:bookmarkEnd w:id="4"/>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3E7" w:type="default"/>
      <w:footerReference xmlns:r="http://schemas.openxmlformats.org/officeDocument/2006/relationships" r:id="N1047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4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3E7" Target="header1.xml" Type="http://schemas.openxmlformats.org/officeDocument/2006/relationships/header"/><Relationship Id="N1047B" Target="footer1.xml" Type="http://schemas.openxmlformats.org/officeDocument/2006/relationships/footer"/><Relationship Id="N10366" Target="media/N1036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4E" Target="media/N1044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