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Vyšší účinnost díky propracovaným konceptům: řešení společnosti B&amp;R na veletrhu Vienna-Tec 2012</w:t>
      </w:r>
    </w:p>
    <w:p>
      <w:pPr>
        <w:pStyle w:val="par-first"/>
        <w:ind w:left="0"/>
        <w:jc w:val="left"/>
      </w:pPr>
      <w:r>
        <w:rPr>
          <w:i/>
          <w:i/>
        </w:rPr>
        <w:t xml:space="preserve">(Eggelsberg) Společnost B&amp;R představila na veletrhu Vienna-Tec 2012 ve dnech 9.–12. října na vídeňském výstavišti v hale D na stánku D0117 vybrané trendy automatizace. Součástí její prezentace byly propracované koncepce pro zvýšení efektivity inženýrských prací. Zástupci firem se mohli v expozici společnosti B&amp;R na vlastní oči přesvědčit, jak lze optimalizací konstrukčních postupů v integrovaném prostředí Automation Studio získat konkurenční výhodu. Bezproblémová integrace projektového plánování a programování automatizovaných systémů přináší výrobcům strojů a strojních celků nesporné výhody. </w:t>
      </w:r>
    </w:p>
    <w:p>
      <w:pPr>
        <w:pStyle w:val="par"/>
        <w:ind w:left="0"/>
      </w:pPr>
      <w:r>
        <w:rPr/>
        <w:t xml:space="preserve">Prezentace společnosti B&amp;R na veletrhu Vienna-Tec se dále zaměřila na dvě další aktuální oblasti: sledování stavu strojů a vybavení a měření spotřeby energie. „Obě tato témata hrají klíčovou roli jak pro výrobní podniky, tak i v segmentu OEM,“ uvedl Hermann Obermair, obchodní manažer pro Rakousko. Předem konfigurované moduly od společnosti B&amp;R pro měření energie a sledování stavu umožňují integraci do stávajících automatizačních řešení. Měřit a optimalizovat lze všechna provozní média – elektřinu, stlačený vzduch, páru nebo vodu. Důležité systémové informace, jako jsou zprávy o poruchách nebo přetížení, jsou kromě toho k dispozici online. Technologie od společnosti B&amp;R tak umožňují implementovat ekonomické a efektivní řešení preventivní údržby strojů a strojních celků.  </w:t>
      </w:r>
    </w:p>
    <w:p/>
    <w:bookmarkStart w:id="5" w:name="_XREFN10053"/>
    <w:bookmarkStart w:id="6" w:name="_XREFN10058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1576923"/>
            <wp:effectExtent b="0" l="0" r="0" t="0"/>
            <wp:docPr id="1" name="viennatec_rgb_72dpi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ennatec_rgb_72dpi(1)"/>
                    <pic:cNvPicPr/>
                  </pic:nvPicPr>
                  <pic:blipFill>
                    <a:blip xmlns:r="http://schemas.openxmlformats.org/officeDocument/2006/relationships" cstate="print" r:embed="N1035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576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3C7" w:type="default"/>
      <w:footerReference xmlns:r="http://schemas.openxmlformats.org/officeDocument/2006/relationships" r:id="N1045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2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C7" Target="header1.xml" Type="http://schemas.openxmlformats.org/officeDocument/2006/relationships/header"/><Relationship Id="N1045B" Target="footer1.xml" Type="http://schemas.openxmlformats.org/officeDocument/2006/relationships/footer"/><Relationship Id="N10351" Target="media/N1035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2E" Target="media/N1042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