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Mit ausgeklügelten Konzepten die Effizienz steigern - B&amp;R präsentiert Lösungen auf der Vienna-Tec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(Eggelsberg) Auf der Vienna-Tec 2012, die vom 9. bis 12. Oktober auf dem Wiener Messegelände stattfindet, präsentiert B&amp;R in Halle D, Stand D0117 Messe-Highlights, die Trendthemen der Automatisierung aufgreifen. Dazu zählen zum Beispiel ausgeklügelte Konzepte zur Effizienzsteigerung im Engineering. Wie sich Unternehmen Wettbewerbsvorteile durch einen optimalen Engineering-Workflow sichern können, demonstriert am B&amp;R-Messestand der vernetzte Live-Aufbau im Automation Studio. Die nahtlose Integration von Projektierung und Programmierung in das Automatisierungssystem bietet Maschinen- und Anlagenbauern entscheidende Vorteile. </w:t>
      </w:r>
    </w:p>
    <w:p>
      <w:pPr>
        <w:pStyle w:val="par"/>
        <w:ind w:left="0"/>
      </w:pPr>
      <w:r>
        <w:rPr/>
        <w:t xml:space="preserve">Zwei weitere Trendthemen prägen den Messeauftritt von B&amp;R auf der Vienna-Tec: die Zustandsüberwachung von Maschinen und Anlagen sowie die Erfassung des Energieverbrauchs. „Diese Themen gewinnen sowohl für produzierende Unternehmen selbst als auch im OEM-Bereich zunehmend an Bedeutung“, sagt Hermann Obermair, Leiter Vertrieb Österreich. Die vorkonfigurierten Solution-Packages von B&amp;R für Energy Monitoring und Condition Monitoring zeigen die Möglichkeiten der Integration in vorhandene Automatisierungslösungen auf. Sämtliche Prozessmedien – wie Strom, Druckluft, Dampf oder Wasser – lassen sich erfassen und optimieren. Darüber hinaus werden kritische Anlageninformationen, wie Lagerschäden oder Schwergängigkeit, online verarbeitet. Die Lösungen von B&amp;R ermöglichen somit eine wirtschaftliche und  rentable Lösung für zustandsorientierte Wartungskonzepte von Maschinen und Anlagen.  </w:t>
      </w:r>
    </w:p>
    <w:p/>
    <w:bookmarkStart w:id="5" w:name="_XREFN10053"/>
    <w:bookmarkStart w:id="6" w:name="_XREFN10058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576923"/>
            <wp:effectExtent b="0" l="0" r="0" t="0"/>
            <wp:docPr id="1" name="viennatec_rgb_72dp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nnatec_rgb_72dpi(1)"/>
                    <pic:cNvPicPr/>
                  </pic:nvPicPr>
                  <pic:blipFill>
                    <a:blip xmlns:r="http://schemas.openxmlformats.org/officeDocument/2006/relationships" cstate="print" r:embed="N1035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C8" w:type="default"/>
      <w:footerReference xmlns:r="http://schemas.openxmlformats.org/officeDocument/2006/relationships" r:id="N1045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2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C8" Target="header1.xml" Type="http://schemas.openxmlformats.org/officeDocument/2006/relationships/header"/><Relationship Id="N1045C" Target="footer1.xml" Type="http://schemas.openxmlformats.org/officeDocument/2006/relationships/footer"/><Relationship Id="N10351" Target="media/N1035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2F" Target="media/N1042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