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Mit ausgeklügelten Konzepten die Effizienz steigern - B&amp;R präsentiert Lösungen auf der Vienna-Tec 2012</w:t>
      </w:r>
    </w:p>
    <w:p>
      <w:pPr>
        <w:pStyle w:val="par-first"/>
        <w:ind w:left="0"/>
        <w:jc w:val="left"/>
      </w:pPr>
      <w:r>
        <w:rPr>
          <w:i/>
          <w:i/>
        </w:rPr>
        <w:t xml:space="preserve">(Eggelsberg) Auf der Vienna-Tec 2012, die vom 9. bis 12. Oktober auf dem Wiener Messegelände stattfindet, präsentiert B&amp;R in Halle D, Stand D0117 Messe-Highlights, die Trendthemen der Automatisierung aufgreifen. Dazu zählen zum Beispiel ausgeklügelte Konzepte zur Effizienzsteigerung im Engineering. Wie sich Unternehmen Wettbewerbsvorteile durch einen optimalen Engineering-Workflow sichern können, demonstriert am B&amp;R-Messestand der vernetzte Live-Aufbau im Automation Studio. Die nahtlose Integration von Projektierung und Programmierung in das Automatisierungssystem bietet Maschinen- und Anlagenbauern entscheidende Vorteile. </w:t>
      </w:r>
    </w:p>
    <w:p>
      <w:pPr>
        <w:pStyle w:val="par"/>
        <w:ind w:left="0"/>
      </w:pPr>
      <w:r>
        <w:rPr/>
        <w:t xml:space="preserve">Zwei weitere Trendthemen prägen den Messeauftritt von B&amp;R auf der Vienna-Tec: die Zustandsüberwachung von Maschinen und Anlagen sowie die Erfassung des Energieverbrauchs. „Diese Themen gewinnen sowohl für produzierende Unternehmen selbst als auch im OEM-Bereich zunehmend an Bedeutung“, sagt Hermann Obermair, Leiter Vertrieb Österreich. Die vorkonfigurierten Solution-Packages von B&amp;R für Energy Monitoring und Condition Monitoring zeigen die Möglichkeiten der Integration in vorhandene Automatisierungslösungen auf. Sämtliche Prozessmedien – wie Strom, Druckluft, Dampf oder Wasser – lassen sich erfassen und optimieren. Darüber hinaus werden kritische Anlageninformationen, wie Lagerschäden oder Schwergängigkeit, online verarbeitet. Die Lösungen von B&amp;R ermöglichen somit eine wirtschaftliche und  rentable Lösung für zustandsorientierte Wartungskonzepte von Maschinen und Anlagen.  </w:t>
      </w:r>
    </w:p>
    <w:p/>
    <w:bookmarkStart w:id="5" w:name="_XREFN10053"/>
    <w:bookmarkStart w:id="6" w:name="_XREFN10058"/>
    <w:p>
      <w:pPr>
        <w:spacing w:after="200" w:before="0"/>
        <w:ind w:left="0"/>
      </w:pPr>
      <w:r>
        <w:drawing>
          <wp:inline xmlns:wp="http://schemas.openxmlformats.org/drawingml/2006/wordprocessingDrawing" distB="0" distL="0" distR="0" distT="0">
            <wp:extent cx="3600000" cy="1576923"/>
            <wp:effectExtent b="0" l="0" r="0" t="0"/>
            <wp:docPr id="1" name="viennatec_rgb_72dpi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iennatec_rgb_72dpi(1)"/>
                    <pic:cNvPicPr/>
                  </pic:nvPicPr>
                  <pic:blipFill>
                    <a:blip xmlns:r="http://schemas.openxmlformats.org/officeDocument/2006/relationships" cstate="print" r:embed="N1035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1576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Acerca de B&amp;R </w:t>
      </w:r>
    </w:p>
    <w:p>
      <w:pPr>
        <w:pStyle w:val="par"/>
        <w:ind w:left="0"/>
      </w:pPr>
      <w:r>
        <w:rPr>
          <w:sz w:val="16"/>
        </w:rPr>
        <w:t xml:space="preserve">B&amp;R, empresa perteneciente al Grupo ABB y con sede en Austria, es líder mundial en automatización industrial. B&amp;R combina tecnología de vanguardia con ingeniería avanzada para proporcionar a usuarios de todos los sectores soluciones completas para la automatización de máquinas y fábricas, Motion Control, HMI y tecnología de seguridad integrada. El catálogo de productos se completa con estándares de comunicación de IoT industrial que incluyen OPC UA, POWERLINK y openSAFETY. Gracias a su única herramienta de software Automation Studio, B&amp;R redefine constantemente el futuro de la ingeniería de automatización. El espíritu innovador que mantiene a B&amp;R a la vanguardia de la automatización industrial está impulsado por el compromiso de simplificar los procesos y superar las expectativas de los clientes.Para más información, visite www.br-automation.com.</w:t>
      </w:r>
    </w:p>
    <w:p>
      <w:pPr>
        <w:pStyle w:val="par"/>
        <w:ind w:left="0"/>
      </w:pPr>
      <w:r>
        <w:rPr>
          <w:sz w:val="16"/>
        </w:rPr>
        <w:t xml:space="preserve">Para más información, visite www.br-automation.com. </w:t>
      </w:r>
    </w:p>
    <w:sectPr>
      <w:headerReference xmlns:r="http://schemas.openxmlformats.org/officeDocument/2006/relationships" r:id="N103C7" w:type="default"/>
      <w:footerReference xmlns:r="http://schemas.openxmlformats.org/officeDocument/2006/relationships" r:id="N1045B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Contacto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Nota de 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2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3C7" Target="header1.xml" Type="http://schemas.openxmlformats.org/officeDocument/2006/relationships/header"/><Relationship Id="N1045B" Target="footer1.xml" Type="http://schemas.openxmlformats.org/officeDocument/2006/relationships/footer"/><Relationship Id="N10351" Target="media/N1035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2E" Target="media/N1042E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