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fácil integración de los robots Stäubli usando drivers uniVAL y redes POWERLINK</w:t>
      </w:r>
    </w:p>
    <w:p>
      <w:pPr>
        <w:pStyle w:val="par-first"/>
        <w:ind w:left="0"/>
        <w:jc w:val="left"/>
      </w:pPr>
      <w:r>
        <w:rPr>
          <w:b/>
          <w:i/>
          <w:i/>
        </w:rPr>
        <w:t xml:space="preserve">Los robots Stäubli ahora pueden ser directamente operados con controles de B&amp;R. Esto es posible gracias al interfaz POWERLINK en los drivers uniVAL de Stäubli el cual permite transferir los programas de Generic Motion Control de los controladores de B&amp;R a los robots. De esta manera, los ingenieros de robótica pueden usar la programación uniforme y el medio de operación proporcionado por los controles B&amp;R.</w:t>
      </w:r>
    </w:p>
    <w:p>
      <w:pPr>
        <w:pStyle w:val="par"/>
        <w:ind w:left="0"/>
      </w:pPr>
      <w:r>
        <w:rPr/>
        <w:t xml:space="preserve">Los robots son conectados a la red usando POWERLINK, el estándar Ethernet de tiempo real. Cuando se usa un control de alto nivel, los controles de los robots Stäubli se cambian a modo pasivo, el cual aún les permite comprobar cuales de los comandos que le llegan son válidos en lo que se refiere a cinemática y seguridad.</w:t>
      </w:r>
    </w:p>
    <w:p>
      <w:pPr>
        <w:pStyle w:val="par"/>
        <w:ind w:left="0"/>
      </w:pPr>
      <w:r>
        <w:rPr/>
        <w:t xml:space="preserve">El interfaz de operación uniforme significa que los operadores del sistema pueden ahorrar tiempo, dinero y trabajo durante el comisionado y el servicio. Para los fabricantes de maquinaria, la reducción de los interfaces no solo significa un precio de venta más bajo, sino además la reducción de los tiempos de ciclo de producción, recortando costes también.</w:t>
      </w:r>
    </w:p>
    <w:p>
      <w:pPr>
        <w:pStyle w:val="par"/>
        <w:ind w:left="0"/>
      </w:pPr>
      <w:r>
        <w:rPr/>
        <w:t xml:space="preserve">A ello se le suma que la red POWERLINK compartida también ofrece un diagnóstico completamente uniforme así como la capacidad de implementar soluciones integradas, desde aplicaciones de visualización y control de movimientos y de robots, hasta el control de calidad integrado procesando imágenes en una verdadera red de tiempo real.</w:t>
      </w:r>
    </w:p>
    <w:p/>
    <w:bookmarkStart w:id="6" w:name="_XREFN10063"/>
    <w:bookmarkStart w:id="7" w:name="_XREFN10068"/>
    <w:p>
      <w:pPr>
        <w:keepNext/>
        <w:spacing w:after="20" w:before="0"/>
        <w:ind w:left="0"/>
      </w:pPr>
      <w:r>
        <w:drawing>
          <wp:inline xmlns:wp="http://schemas.openxmlformats.org/drawingml/2006/wordprocessingDrawing" distB="0" distL="0" distR="0" distT="0">
            <wp:extent cx="3600000" cy="5405538"/>
            <wp:effectExtent b="0" l="0" r="0" t="0"/>
            <wp:docPr id="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xmlns:r="http://schemas.openxmlformats.org/officeDocument/2006/relationships" cstate="print" r:embed="N10371"/>
                    <a:stretch>
                      <a:fillRect/>
                    </a:stretch>
                  </pic:blipFill>
                  <pic:spPr>
                    <a:xfrm>
                      <a:off x="0" y="0"/>
                      <a:ext cx="3600000" cy="5405538"/>
                    </a:xfrm>
                    <a:prstGeom prst="rect">
                      <a:avLst/>
                    </a:prstGeom>
                  </pic:spPr>
                </pic:pic>
              </a:graphicData>
            </a:graphic>
          </wp:inline>
        </w:drawing>
      </w:r>
    </w:p>
    <w:p>
      <w:pPr>
        <w:pStyle w:val="media-caption"/>
        <w:ind w:left="0"/>
      </w:pPr>
      <w:r>
        <w:t xml:space="preserve">Los robots Stäubli están conectados a la red usando POWERLINK, el estándar Ethernet de tiempo real.</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1" Target="media/N1037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