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Průlomové inovace v automatizaci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opět na veletrhu SPS IPC Drives 2012 v Norimberku</w:t>
      </w:r>
    </w:p>
    <w:p>
      <w:pPr>
        <w:pStyle w:val="par-first"/>
        <w:ind w:left="0"/>
        <w:jc w:val="left"/>
      </w:pPr>
      <w:r>
        <w:rPr>
          <w:i/>
          <w:i/>
        </w:rPr>
        <w:t xml:space="preserve">Letošní ročník veletrhu SPS IPC Drives se uskuteční ve dnech 27. - 29. listopadu 2012 v Norimberku. Na tomto mezinárodním veletrhu průmyslových automatizačních systémů firma B&amp;R představí celý svůj sortiment na téměř 1000 m² v hale 7 na stánku 206. V centru pozornosti budou nejnovější inovace, které otevírají nové příležitosti výrobcům strojů a posilují jejich konkurenceschopnost. Tyto inovace otevírají nové příležitosti pro výrobce strojů a posilují jejich konkurenceschopnost.</w:t>
      </w:r>
    </w:p>
    <w:p>
      <w:pPr>
        <w:pStyle w:val="par"/>
        <w:ind w:left="0"/>
      </w:pPr>
      <w:r>
        <w:rPr>
          <w:b/>
        </w:rPr>
        <w:t xml:space="preserve">Nový Box PC s technologií Intel ® Core ™ i 3. generace</w:t>
      </w:r>
    </w:p>
    <w:p>
      <w:pPr>
        <w:pStyle w:val="par"/>
        <w:ind w:left="0"/>
      </w:pPr>
      <w:r>
        <w:rPr/>
        <w:t xml:space="preserve">Uživatelé mohou očekávat extrémní všestrannost a nákladovou výhodnost u robustní a spolehlivé řady průmyslových PC, včetně nového Automation PC 910. V srdci tohoto mocného průmyslového PC najdete nejnovější procesor Intel ® Core ™ i třetí generace. Procesory Core ™ i3, Core ™ i5 a Core ™ i7 s až čtyřmi jádry, spárované s nově vydaným chipsetem QM77 Express, poskytují maximální výpočetní výkon.</w:t>
      </w:r>
    </w:p>
    <w:p>
      <w:pPr>
        <w:pStyle w:val="par"/>
        <w:ind w:left="0"/>
      </w:pPr>
      <w:r>
        <w:rPr>
          <w:b/>
        </w:rPr>
        <w:t xml:space="preserve">APROL EnMon optimalizuje energetickou účinnost</w:t>
      </w:r>
    </w:p>
    <w:p>
      <w:pPr>
        <w:pStyle w:val="par"/>
        <w:ind w:left="0"/>
      </w:pPr>
      <w:r>
        <w:rPr/>
        <w:t xml:space="preserve">Společnost B&amp;R představila zcela nové řešení monitorování energií - APROL EnMon. Pomáhá uživatelům plnit normu ISO 50001 a poskytuje lepší energetickou účinnost, což znamená, že snižuje náklady a zvyšuje konkurenceschopnost. Toto řešení fungující samostatně nebo integrované do stávajícího řídicího procesního systému APROL, podporuje proces neustálého zlepšování pomocí měření a vyhodnocení všech relevantních údajů o spotřebě energie.</w:t>
      </w:r>
    </w:p>
    <w:p>
      <w:pPr>
        <w:pStyle w:val="par"/>
        <w:ind w:left="0"/>
      </w:pPr>
      <w:r>
        <w:rPr>
          <w:b/>
        </w:rPr>
        <w:t xml:space="preserve">Automation Studio 4 zvyšuje efektivitu vývoje</w:t>
      </w:r>
    </w:p>
    <w:p>
      <w:pPr>
        <w:pStyle w:val="par"/>
        <w:ind w:left="0"/>
      </w:pPr>
      <w:r>
        <w:rPr/>
        <w:t xml:space="preserve">Navzdory stále větší složitosti produktů, "Smart Engineering" spolu s Automation Studio 4 pomáhá snižovat náklady na vývoj a zkracuje dobu uvedení produktu na trh. Další generace vývojového prostředí od B&amp;R nabízí značné výhody. Za prvé, umožňuje vytvořit automatizační řešení s nebývalou účinností.</w:t>
      </w:r>
    </w:p>
    <w:p>
      <w:pPr>
        <w:pStyle w:val="par"/>
        <w:ind w:left="0"/>
      </w:pPr>
      <w:r>
        <w:rPr/>
        <w:t xml:space="preserve">Automation Studio 4 je také vybaveno novými revolučními funkcemi, které podporují optimální vývoj a sériovou výrobu modulárních strojů v různých konfiguracích. Patří mezi ně kompletní modulární software, grafický konfigurační nástroj, komunikace přes OPC-UA a otevřená rozhraní mezi Automation Studio 4 a různými simulačními software.</w:t>
      </w:r>
    </w:p>
    <w:p>
      <w:pPr>
        <w:pStyle w:val="par"/>
        <w:ind w:left="0"/>
      </w:pPr>
      <w:r>
        <w:rPr/>
        <w:t xml:space="preserve">Kromě toho, Automation Runtime poskytuje optimální vícejádrové použití a podporuje současné používání více operačních systémů (MultiOS) na jediné hardwarové platformě.</w:t>
      </w:r>
    </w:p>
    <w:p>
      <w:pPr>
        <w:pStyle w:val="par"/>
        <w:ind w:left="0"/>
      </w:pPr>
      <w:r>
        <w:rPr>
          <w:b/>
        </w:rPr>
        <w:t xml:space="preserve">Redundantní CPU od B&amp;R - naprosto spolehlivé a efektivní</w:t>
      </w:r>
    </w:p>
    <w:p>
      <w:pPr>
        <w:pStyle w:val="par"/>
        <w:ind w:left="0"/>
      </w:pPr>
      <w:r>
        <w:rPr/>
        <w:t xml:space="preserve">Bezporuchový systém s redundantními procesory bylo v minulosti pro mnoho aplikací cenově nedostupné řešení. Redundance pro systém X20 od B&amp;R, která je součástí vývojového prostředí Automation Studio 4, je nyní ekonomicky atraktivní i pro menší běžné aplikace. Redundance využívá jako komunikační protokol vysoce výkonnou sběrnici reálného času POWERLINK.</w:t>
      </w:r>
    </w:p>
    <w:p>
      <w:pPr>
        <w:pStyle w:val="par"/>
        <w:ind w:left="0"/>
      </w:pPr>
      <w:r>
        <w:rPr>
          <w:b/>
        </w:rPr>
        <w:t xml:space="preserve">Decentralizované pohony od B&amp;R pro optimální využití dostupného prostoru</w:t>
      </w:r>
    </w:p>
    <w:p>
      <w:pPr>
        <w:pStyle w:val="par"/>
        <w:ind w:left="0"/>
      </w:pPr>
      <w:r>
        <w:rPr/>
        <w:t xml:space="preserve">Servopohon ACOPOSmulti65m namontovaný přímo na motoru s krytím IP65 je inovativní dodatečný prvek k modulárnímu pohonnému systému řady ACOPOSmulti. Servo s motorem tvoří konfigurovatelný a snadno připojitelný mechatronický servopohon s integrovanými bezpečnostními pohybovými funkcemi a openSAFETY, který dodává energii přímo tam, kde je jí potřeba. Tím šetří cenný prostor v rozváděči a podporuje rozvoj decentralizované architektury počítačů.</w:t>
      </w:r>
    </w:p>
    <w:p>
      <w:pPr>
        <w:pStyle w:val="par"/>
        <w:ind w:left="0"/>
      </w:pPr>
      <w:r>
        <w:rPr>
          <w:b/>
        </w:rPr>
        <w:t xml:space="preserve">Nový milník v oblasti funkční bezpečnosti</w:t>
      </w:r>
    </w:p>
    <w:p>
      <w:pPr>
        <w:pStyle w:val="par"/>
        <w:ind w:left="0"/>
      </w:pPr>
      <w:r>
        <w:rPr/>
        <w:t xml:space="preserve">B&amp;R představí na veletrhu SPS/IPC/Drives také další milník v oblasti funkční bezpečnosti.</w:t>
      </w:r>
    </w:p>
    <w:p>
      <w:pPr>
        <w:pStyle w:val="par"/>
        <w:ind w:left="0"/>
      </w:pPr>
      <w:r>
        <w:rPr/>
        <w:t xml:space="preserve">Zmíněné produkty a řešení budou představeny na stánku B&amp;R v rámci komplexního portfolia jednotlivých významných inovací - včetně zbrusu nových produktů pro provoz a vizualizaci, a robustních komponent a systémů pro mobilní automatizaci.</w:t>
      </w:r>
    </w:p>
    <w:p/>
    <w:bookmarkStart w:id="18" w:name="_XREFN1005E"/>
    <w:bookmarkStart w:id="19" w:name="_XREFN10063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698477"/>
            <wp:effectExtent b="0" l="0" r="0" t="0"/>
            <wp:docPr id="1" name="BuR_SPS IPC Dr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PS IPC Drives"/>
                    <pic:cNvPicPr/>
                  </pic:nvPicPr>
                  <pic:blipFill>
                    <a:blip xmlns:r="http://schemas.openxmlformats.org/officeDocument/2006/relationships" cstate="print" r:embed="N1043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9"/>
    <w:bookmarkEnd w:id="1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B3" w:type="default"/>
      <w:footerReference xmlns:r="http://schemas.openxmlformats.org/officeDocument/2006/relationships" r:id="N1054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1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B3" Target="header1.xml" Type="http://schemas.openxmlformats.org/officeDocument/2006/relationships/header"/><Relationship Id="N10547" Target="footer1.xml" Type="http://schemas.openxmlformats.org/officeDocument/2006/relationships/footer"/><Relationship Id="N1043D" Target="media/N1043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1A" Target="media/N1051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