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Przełomowe innowacje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SPS / IPC / Drives w Norymberdze</w:t>
      </w:r>
    </w:p>
    <w:p>
      <w:pPr>
        <w:pStyle w:val="par-first"/>
        <w:ind w:left="0"/>
        <w:jc w:val="left"/>
      </w:pPr>
      <w:r>
        <w:rPr>
          <w:i/>
          <w:i/>
        </w:rPr>
        <w:t xml:space="preserve">Od 27 do 29 listopada 2012 r. w Norymberdze odbywać się będzie wystawa SPS IPC Drives. Najważniejsze dla branży automatyki przemysłowej targi są dla B&amp;R doskonałą okazją do zaprezentowania całego asortymentu produktów; w tym celu firma B&amp;R przygotowała mające ponad 1000 m² stoisko (Hala 7, Stoisko 206). Najwięcej uwagi poświęcone zostanie najnowszym osiągnięciom opracowanym przez B&amp;R, globalnego lidera technologii automatyzacyjnej. Prezentowane innowacje otworzą przed konstruktorami maszyn i systemów zupełnie nowe możliwości, pozwalając im nie tylko utrzymać, ale i zwiększyć przewagę konkurencyjną.</w:t>
      </w:r>
    </w:p>
    <w:p>
      <w:pPr>
        <w:pStyle w:val="par"/>
        <w:ind w:left="0"/>
      </w:pPr>
      <w:r>
        <w:rPr>
          <w:b/>
        </w:rPr>
        <w:t xml:space="preserve">Nowy komputer B&amp;R Box PC z procesorami Intel® Core™ i trzeciej generacji</w:t>
      </w:r>
    </w:p>
    <w:p>
      <w:pPr>
        <w:pStyle w:val="par"/>
        <w:ind w:left="0"/>
      </w:pPr>
      <w:r>
        <w:rPr/>
        <w:t xml:space="preserve">Od linii komputerów przemysłowych, z nowym modelem Automation PC 910, użytkownicy mogą oczekiwać niezrównanej uniwersalności oraz korzyści finansowych. Sercem tego wydajnego komputera przemysłowego jest najnowszy procesor Intel® Core™ i. Posiadające do 4 rdzeni procesory Core™ i3, Core™ i5 i Core™ i7, oferują, w połączeniu z nowo wprowadzonym na rynek chipsetem QM77 Express, najwyższą wydajność dla zastosowań przemysłowych.</w:t>
      </w:r>
    </w:p>
    <w:p>
      <w:pPr>
        <w:pStyle w:val="par"/>
        <w:ind w:left="0"/>
      </w:pPr>
      <w:r>
        <w:rPr>
          <w:b/>
        </w:rPr>
        <w:t xml:space="preserve">APROL EnMon optymalizuje wydajność energetyczną</w:t>
      </w:r>
    </w:p>
    <w:p>
      <w:pPr>
        <w:pStyle w:val="par"/>
        <w:ind w:left="0"/>
      </w:pPr>
      <w:r>
        <w:rPr/>
        <w:t xml:space="preserve">Firma B&amp;R zaprezentowała najnowsze rozwiązanie do monitoringu zużycia energii - APROL EnMon. Innowacyjny system nie tylko ułatwia wdrażanie normy ISO 50001, ale również zwiększa sprawność energetyczną, co prowadzi do obniżki kosztów i zwiększenia konkurencyjności. Rozwiązanie to może działać indywidualnie lub w połączeniu z istniejącymi już systemami sterowania procesów APROL, wspierając nieustanny proces wprowadzania udoskonaleń poprzez pomiar i ocenę wszystkich istotnych danych dotyczących zużycia energii.</w:t>
      </w:r>
    </w:p>
    <w:p>
      <w:pPr>
        <w:pStyle w:val="par"/>
        <w:ind w:left="0"/>
      </w:pPr>
      <w:r>
        <w:rPr>
          <w:b/>
        </w:rPr>
        <w:t xml:space="preserve">Automation Studio 4 - usprawnienie procesu deweloperskiego dzięki zrównoważonej sprawności</w:t>
      </w:r>
    </w:p>
    <w:p>
      <w:pPr>
        <w:pStyle w:val="par"/>
        <w:ind w:left="0"/>
      </w:pPr>
      <w:r>
        <w:rPr/>
        <w:t xml:space="preserve">Pomimo stale wzrastającego poziomu skomplikowania produktów, "inteligentna inżynieria" jaką umożliwia Automation Studio 4 pozwala na redukcję kosztów prac deweloperskich oraz przyspieszenie tempa wprowadzania produktów na rynek. Kolejna generacja środowiska deweloperskiego B&amp;R niesie ze sobą przełomowe korzyści. Po pierwsze, umożliwia opracowywanie rozwiązań automatyzacyjnych z niespotykaną dotąd skutecznością.</w:t>
      </w:r>
    </w:p>
    <w:p>
      <w:pPr>
        <w:pStyle w:val="par"/>
        <w:ind w:left="0"/>
      </w:pPr>
      <w:r>
        <w:rPr/>
        <w:t xml:space="preserve">Automation Studio 4 posiada teraz nowe, rewolucyjne funkcje wspierające optymalne opracowywanie i produkcję seryjną maszyn modułowych w różnych konfiguracjach. Funkcje te obejmują całkowitą modularyzację oprogramowania, narzędzie do graficznej konfiguracji sprzętu oraz komunikację z wykorzystaniem architektury OPC-UA, a także otwarte interfejsy sprzęgające Automation Studio oraz różnego rodzaju oprogramowanie projektowe i symulacyjne.</w:t>
      </w:r>
    </w:p>
    <w:p>
      <w:pPr>
        <w:pStyle w:val="par"/>
        <w:ind w:left="0"/>
      </w:pPr>
      <w:r>
        <w:rPr/>
        <w:t xml:space="preserve">Dodatkowo, Automation Runtime zapewnia optymalne wykorzystanie technologii wielordzeniowej oraz obsługuje jednoczesne wykorzystanie wielu systemów operacyjnych (MultiOS) na jednej platformie sprzętowej.</w:t>
      </w:r>
    </w:p>
    <w:p>
      <w:pPr>
        <w:pStyle w:val="par"/>
        <w:ind w:left="0"/>
      </w:pPr>
      <w:r>
        <w:rPr>
          <w:b/>
        </w:rPr>
        <w:t xml:space="preserve">Redundancja procesorów w wykonaniu B&amp;R - całkowita niezawodność i oszczędność</w:t>
      </w:r>
    </w:p>
    <w:p>
      <w:pPr>
        <w:pStyle w:val="par"/>
        <w:ind w:left="0"/>
      </w:pPr>
      <w:r>
        <w:rPr/>
        <w:t xml:space="preserve">W przeszłości, odporny na awarie system wyposażone w redundantne procesory okazywał się dla wielu zastosowań rozwiązaniem zaporowo drogim. Dzięki wspieranej przez Automation Studio 4 funkcji redundancji procesorów w systemach X20 firmy B&amp;R wysoko dostępne systemy stają korzystnym cenowo rozwiązaniem, nawet w przypadku mniej rozbudowanych, konwencjonalnych zastosowań w dziedzinie automatyki. Wykorzystywany przez redundantne rozwiązania B&amp;R protokół komunikacji to charakteryzujący się wysoką wydajnością, działający w czasie rzeczywistym protokół fieldbus POWERLINK.</w:t>
      </w:r>
    </w:p>
    <w:p>
      <w:pPr>
        <w:pStyle w:val="par"/>
        <w:ind w:left="0"/>
      </w:pPr>
      <w:r>
        <w:rPr>
          <w:b/>
        </w:rPr>
        <w:t xml:space="preserve">Zdecentralizowana technologia napędowa B&amp;R gwarantuje optymalne wykorzystanie dostępnego miejsca</w:t>
      </w:r>
    </w:p>
    <w:p>
      <w:pPr>
        <w:pStyle w:val="par"/>
        <w:ind w:left="0"/>
      </w:pPr>
      <w:r>
        <w:rPr/>
        <w:t xml:space="preserve">Montowany bezpośrednio na napędach, wyposażony w obudową z klasą ochrony IP65 serwonapęd ACOPOSmulti65 to kolejna innowacyjna jednostka poszerzająca paletę modularnych systemów napędowych ACOPOSmulti. Serwonapęd łączy się z silnikiem tworząc konfigurowalny i łatwy do podłączenia serwonapęd mechatroniczny ze zintegrowanymi funkcjami bezpieczeństwa oraz protokołem openSAFETY - takie rozwiązanie umożliwia przekazanie napędu dokładnie tam, gdzie jest on właśnie wymagany. Zaletą takiego rozwiązania jest nie tylko oszczędność miejsca w szafce sterowniczej, ale przede wszystkim promowanie rozwoju zdecentralizowanych architektur maszyn.</w:t>
      </w:r>
    </w:p>
    <w:p>
      <w:pPr>
        <w:pStyle w:val="par"/>
        <w:ind w:left="0"/>
      </w:pPr>
      <w:r>
        <w:rPr>
          <w:b/>
        </w:rPr>
        <w:t xml:space="preserve">Nowy</w:t>
      </w:r>
      <w:r>
        <w:rPr>
          <w:b/>
        </w:rPr>
        <w:t xml:space="preserve"> kamień milowy z zintegrowanym bezpieczeństwie.</w:t>
      </w:r>
    </w:p>
    <w:p>
      <w:pPr>
        <w:pStyle w:val="par"/>
        <w:ind w:left="0"/>
      </w:pPr>
      <w:r>
        <w:rPr/>
        <w:t xml:space="preserve">Odbywające się w roku 2012 targi SPS IPC Drives będą dla firmy B&amp;R doskonałą okazją do przedstawienia kolejnego milowego kroku w rozwoju zintegrowanej technologii bezpieczeństwa.</w:t>
      </w:r>
    </w:p>
    <w:p>
      <w:pPr>
        <w:pStyle w:val="par"/>
        <w:ind w:left="0"/>
      </w:pPr>
      <w:r>
        <w:rPr/>
        <w:t xml:space="preserve">Przełomowe rozwiązania zostaną zaprezentowane na stoisku B&amp;R, gdzie firma będzie też wiele innych, wybitnych innowacji obejmujących wszystkie obszary automatyki - w tym całkowicie nowe rozwiązania z zakresu eksploatacji i interfejsu człowiek/maszyna, oraz solidne podzespoły i systemy dla automatyki mobilnej.</w:t>
      </w:r>
    </w:p>
    <w:p/>
    <w:bookmarkStart w:id="18" w:name="_XREFN1005E"/>
    <w:bookmarkStart w:id="19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S IPC Drives"/>
                    <pic:cNvPicPr/>
                  </pic:nvPicPr>
                  <pic:blipFill>
                    <a:blip xmlns:r="http://schemas.openxmlformats.org/officeDocument/2006/relationships" cstate="print" r:embed="N1044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End w:id="1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BB" w:type="default"/>
      <w:footerReference xmlns:r="http://schemas.openxmlformats.org/officeDocument/2006/relationships" r:id="N1054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B" Target="header1.xml" Type="http://schemas.openxmlformats.org/officeDocument/2006/relationships/header"/><Relationship Id="N1054F" Target="footer1.xml" Type="http://schemas.openxmlformats.org/officeDocument/2006/relationships/footer"/><Relationship Id="N10445" Target="media/N1044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2" Target="media/N1052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