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Groundbreaking innovations in automation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at the 2012 SPS IPC Drives in Nuremberg</w:t>
      </w:r>
    </w:p>
    <w:p>
      <w:pPr>
        <w:pStyle w:val="par-first"/>
        <w:ind w:left="0"/>
        <w:jc w:val="left"/>
      </w:pPr>
      <w:r>
        <w:rPr>
          <w:i/>
          <w:i/>
        </w:rPr>
        <w:t xml:space="preserve">Эггельсберг – Выставка 2012 SPS IPC Drives будет проводиться с 27 по 29 ноября 2012 г. в Нюрнберге.  На этой ведущей торговой выставке систем и компонентов промышленной автоматизации B&amp;R продемонстрирует весь ассортимент продукции на своем стенде площадью почти 1000 м² (Зал 7, стенд 206). Основное внимание будет уделено последним разработкам этого высоко инновационного глобального лидера в технологии автоматизации.  Эти инновации откроют новые возможности для изготовителей станков и систем и укрепят их передовые позиции в конкурентной борьбе.</w:t>
      </w:r>
    </w:p>
    <w:p>
      <w:pPr>
        <w:pStyle w:val="par"/>
        <w:ind w:left="0"/>
      </w:pPr>
      <w:r>
        <w:rPr>
          <w:b/>
        </w:rPr>
        <w:t xml:space="preserve">Новый встраиваемый ПК от B&amp;R с технологией третьего поколения Intel® Core™ i</w:t>
      </w:r>
    </w:p>
    <w:p>
      <w:pPr>
        <w:pStyle w:val="par"/>
        <w:ind w:left="0"/>
      </w:pPr>
      <w:r>
        <w:rPr/>
        <w:t xml:space="preserve">Пользователи могут ожидать исключительной гибкости и ценовых преимуществ от прочной и надежной серии промышленных ПК, включая новый Automation PC 910. В основе этого мощного промышленного ПК вы найдете новейшую технологию третьего поколения Intel® Core™ i.  Процессоры Core™ i3, Core™ i5 и Core™ i7, имеющие до четырех ядер, плюс недавно выпущенный чипсет QM77 Express обеспечивают максимальную производительность, доступную в настоящее время на рынке промышленных ПК.</w:t>
      </w:r>
    </w:p>
    <w:p>
      <w:pPr>
        <w:pStyle w:val="par"/>
        <w:ind w:left="0"/>
      </w:pPr>
      <w:r>
        <w:rPr>
          <w:b/>
        </w:rPr>
        <w:t xml:space="preserve">APROL EnMon оптимизирует энергоэффективность</w:t>
      </w:r>
    </w:p>
    <w:p>
      <w:pPr>
        <w:pStyle w:val="par"/>
        <w:ind w:left="0"/>
      </w:pPr>
      <w:r>
        <w:rPr/>
        <w:t xml:space="preserve">B&amp;R представил новейшее решение для контроля энергопотребления – APROL EnMon.  Помогая пользователям внедрить ISO 50001, это нововведение также обеспечивает повышение эффективности использования энергии, что означает снижение расходов и повышение конкурентоспособности.  Работая автономно или интегрированным в существующую систему управления производственными процессами APROL, это решение поддерживает процесс непрерывной оптимизации, измеряя и оценивая все надлежащие данные об энергопотреблении.</w:t>
      </w:r>
    </w:p>
    <w:p>
      <w:pPr>
        <w:pStyle w:val="par"/>
        <w:ind w:left="0"/>
      </w:pPr>
      <w:r>
        <w:rPr>
          <w:b/>
        </w:rPr>
        <w:t xml:space="preserve">Automation Studio 4 позволяет разрабатывать проекты с высокой эффективностью</w:t>
      </w:r>
    </w:p>
    <w:p>
      <w:pPr>
        <w:pStyle w:val="par"/>
        <w:ind w:left="0"/>
      </w:pPr>
      <w:r>
        <w:rPr/>
        <w:t xml:space="preserve">Несмотря на постоянно растущую сложность продукции, "интеллектуальный инжиниринг" с Automation Studio 4 помогает сократить развития затраты на разработку и ускорить выход продукта на рынок. Следующее поколение среды разработки B&amp;R обеспечивает убедительные преимущества. С одной стороны, оно позволяет разрабатывать решения автоматизации с беспрецедентной эффективностью.</w:t>
      </w:r>
    </w:p>
    <w:p>
      <w:pPr>
        <w:pStyle w:val="par"/>
        <w:ind w:left="0"/>
      </w:pPr>
      <w:r>
        <w:rPr/>
        <w:t xml:space="preserve">Automation Studio 4 также отличается революционными новыми возможностями, которые поддерживают оптимальную разработку и серийное производство модульных установок в различных конфигурациях. Они включают в себя полную модуляризацию программного обеспечения, графический инструмент конфигурирования аппаратного обеспечения и связь через OPC-UA, а также открытые интерфейсы между Automation Studio 4 и различным проектным и имитационным программным обеспечением.</w:t>
      </w:r>
    </w:p>
    <w:p>
      <w:pPr>
        <w:pStyle w:val="par"/>
        <w:ind w:left="0"/>
      </w:pPr>
      <w:r>
        <w:rPr/>
        <w:t xml:space="preserve">Кроме того, Automation Runtime обеспечивает оптимальное использование нескольких ядер процессора и поддерживает одновременное использование нескольких операционных систем (MultiOS) на одной аппаратной платформе.</w:t>
      </w:r>
    </w:p>
    <w:p>
      <w:pPr>
        <w:pStyle w:val="par"/>
        <w:ind w:left="0"/>
      </w:pPr>
      <w:r>
        <w:rPr>
          <w:b/>
        </w:rPr>
        <w:t xml:space="preserve">Резервирование ЦПУ от B&amp;R – Абсолютно надежное и экономичное</w:t>
      </w:r>
    </w:p>
    <w:p>
      <w:pPr>
        <w:pStyle w:val="par"/>
        <w:ind w:left="0"/>
      </w:pPr>
      <w:r>
        <w:rPr/>
        <w:t xml:space="preserve">В прошлом отказоустойчивая система с резервированными процессорами была слишком дорогим решением для многих областей применения. С резервированием процессора с помощью системы B&amp;R X20, интегрированным в среду разработки Automation Studio 4, высокоработоспособностые системы теперь стали более экономичным решением даже для небольших проектов в классических областях машиностроения. Коммуникационный протокол, используемый для решения резервирования от B&amp;R, - это высокопроизводительная полевая шина реального времени POWERLINK.</w:t>
      </w:r>
    </w:p>
    <w:p>
      <w:pPr>
        <w:pStyle w:val="par"/>
        <w:ind w:left="0"/>
      </w:pPr>
      <w:r>
        <w:rPr>
          <w:b/>
        </w:rPr>
        <w:t xml:space="preserve">Децентрализованная приводная технология от B&amp;R для оптимального использования свободного пространства</w:t>
      </w:r>
    </w:p>
    <w:p>
      <w:pPr>
        <w:pStyle w:val="par"/>
        <w:ind w:left="0"/>
      </w:pPr>
      <w:r>
        <w:rPr/>
        <w:t xml:space="preserve">Монтируемый на двигателе сервопривод ACOPOSmulti65m с защитой IP65 - это инновационное добавление к модульной системе приводов ACOPOSmulti от B&amp;R.  В комбинации с двигателем он образует конфигурируемый и простой в подключении мехатронный сервопривод со встроенными функциями безопасного управления движением и openSAFETY, подающий электропитании прямо туда, где оно требуется на машине.  Это сохраняет ценное пространство в шкафу управления и, что еще более важно, совершенствует разработку децентрализованных архитектур машин.</w:t>
      </w:r>
    </w:p>
    <w:p>
      <w:pPr>
        <w:pStyle w:val="par"/>
        <w:ind w:left="0"/>
      </w:pPr>
      <w:r>
        <w:rPr>
          <w:b/>
        </w:rPr>
        <w:t xml:space="preserve">Новая</w:t>
      </w:r>
      <w:r>
        <w:rPr>
          <w:b/>
        </w:rPr>
        <w:t xml:space="preserve"> веха в интегрированной безопасности</w:t>
      </w:r>
    </w:p>
    <w:p>
      <w:pPr>
        <w:pStyle w:val="par"/>
        <w:ind w:left="0"/>
      </w:pPr>
      <w:r>
        <w:rPr/>
        <w:t xml:space="preserve">На выставке 2012 SPS IPC Drives компания B&amp;R представит новую веху в интегрированной технологии обеспечения безопасности.</w:t>
      </w:r>
    </w:p>
    <w:p>
      <w:pPr>
        <w:pStyle w:val="par"/>
        <w:ind w:left="0"/>
      </w:pPr>
      <w:r>
        <w:rPr/>
        <w:t xml:space="preserve">Эти выдающиеся возможности будут показаны на стенде B&amp;R на всесторонней выставке заметных нововведений, которая охватывает все области автоматизации, включая новые фирменные разработки в эксплуатации и ЧМИ, а также в области надежных компонентов и систем для мобильных устройств автоматизации.</w:t>
      </w:r>
    </w:p>
    <w:p/>
    <w:bookmarkStart w:id="18" w:name="_XREFN1005E"/>
    <w:bookmarkStart w:id="19" w:name="_XREFN10063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698477"/>
            <wp:effectExtent b="0" l="0" r="0" t="0"/>
            <wp:docPr id="1" name="BuR_SPS IPC Dri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SPS IPC Drives"/>
                    <pic:cNvPicPr/>
                  </pic:nvPicPr>
                  <pic:blipFill>
                    <a:blip xmlns:r="http://schemas.openxmlformats.org/officeDocument/2006/relationships" cstate="print" r:embed="N1044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69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9"/>
    <w:bookmarkEnd w:id="1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BB" w:type="default"/>
      <w:footerReference xmlns:r="http://schemas.openxmlformats.org/officeDocument/2006/relationships" r:id="N1054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BB" Target="header1.xml" Type="http://schemas.openxmlformats.org/officeDocument/2006/relationships/header"/><Relationship Id="N1054F" Target="footer1.xml" Type="http://schemas.openxmlformats.org/officeDocument/2006/relationships/footer"/><Relationship Id="N10445" Target="media/N1044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22" Target="media/N1052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