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EWEA 2013: B&amp;R přináší Vaše vize do života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Snižování nákladů díky inovativnímu řešení</w:t>
      </w:r>
    </w:p>
    <w:p>
      <w:pPr>
        <w:pStyle w:val="par-first"/>
        <w:ind w:left="0"/>
        <w:jc w:val="left"/>
      </w:pPr>
      <w:r>
        <w:rPr>
          <w:i/>
          <w:i/>
        </w:rPr>
        <w:t xml:space="preserve">Na veletrhu EWEA 2013 v pavilonu B, stánku číslo H20 ve dnech 4. - 7. 2. 2013 ve Vídni se dozvíte, jak inovativní automatizační řešení můžou významně přispět ke snížení cen. Optimalizace mechanických dílů pomocí inteligentních bezpečnostních řešení je jediný způsob, jak výrazně zvýšit bezpečnost provozu. B&amp;R jako lídr v bezpečnostní technologii ukáže, jak lze nové bezpečnostní požadavky pro certifikaci systémů větrných elektráren dle normy GL 2010 implementovat efektivním a hospodárným způsobem.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open SAFETY: Bezpečnostní technologie prokazuje svou nezávislost</w:t>
      </w:r>
    </w:p>
    <w:p>
      <w:pPr>
        <w:pStyle w:val="par"/>
        <w:ind w:left="0"/>
      </w:pPr>
      <w:r>
        <w:rPr/>
        <w:t xml:space="preserve">Bezpečnostní systém je založen na otevřeném, na sběrnici nezávislém bezpečnostním standardu openSAFETY  a může být integrován do všech standardních řídicích prvků. Kromě digitálních v/v také poskytuje analogové nebo teplotní rozhraní, stejně jako bezpečné rychlosti měření až do SIL3 a úroveň 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Řídicí systém X20: První volba pro přímořské elektrárny</w:t>
      </w:r>
    </w:p>
    <w:p>
      <w:pPr>
        <w:pStyle w:val="par"/>
        <w:ind w:left="0"/>
      </w:pPr>
      <w:r>
        <w:rPr/>
        <w:t xml:space="preserve">Dalším lákadlem veletrhu bude velmi úspěšný řídicí systém X20. Vzhledem k tomu, že systém je velmi robustní, je to perfektní řešení pro zvládnutí extrémních podmínek panujících u přimořských větrných elektráren. Modulární řešení redundance například na úrovni hlavní řídicí jednotky, bezpečnostního systému a ethernetové komunikační sběrnice POWERLINK maximalizuje dostupnost systému. Časově náročný a nákladný nový inženýring je tedy zbytečný. Snadno použitelný inteligentní systém pro sledování stavu od společnosti B&amp;R navíc umožňuje lépe koordinovat údržbu a vyhnout se neplánovaným prostojům zařízení.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Procesní řídicí systém APROL - nejlepší řešení pro větrné elektrárny</w:t>
      </w:r>
    </w:p>
    <w:p>
      <w:pPr>
        <w:pStyle w:val="par"/>
        <w:ind w:left="0"/>
      </w:pPr>
      <w:r>
        <w:rPr/>
        <w:t xml:space="preserve">Škálovatelný procesní řídicí systém APROL umožňuje efektivní, na výrobci nezávislou správu celých větrných parků - od několika málo systémů až po velké parky, které obsahují tisíce systémů. Mezi standardní funkce pro certifikované záznamy patří integrovaná správa dat, vykazování s neomezenými možnostmi konfigurace a Audit trail. Několik algoritmů pro řízení spotřeby elektrické energie větrného parku lze snadno implemetovat do systému řízení technologických procesů.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Systémy B&amp;R pro větrné elektrárny</w:t>
      </w:r>
    </w:p>
    <w:p>
      <w:pPr>
        <w:pStyle w:val="par"/>
        <w:ind w:left="0"/>
      </w:pPr>
      <w:r>
        <w:rPr/>
        <w:t xml:space="preserve">Automatické generování kódu z modelů vytvořených v prostředí MATLAB/Simulink umožňuje přenášet do systémů B&amp;R výkonné řídicí algoritmy maximalizující produkci energie při současné minimalizaci zatížení komponent strojního zařízení. Jde o jednu z cest, jak se vyrovnat s požadavky odvětví větrné energetiky, jednoho z důležitých oborů budoucnosti. Na veletrhu EWEA 2013 specialisté společnosti B&amp;R opět nabídnou automatizační systémy vyznačující se mimořádnou kvalitou, dostupností a celkovou bezpečností.</w:t>
      </w:r>
    </w:p>
    <w:p/>
    <w:bookmarkStart w:id="7" w:name="_XREFN10050"/>
    <w:bookmarkStart w:id="8" w:name="_XREFN10055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025000"/>
            <wp:effectExtent b="0" l="0" r="0" t="0"/>
            <wp:docPr id="1" name="PM_EW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_EWEA"/>
                    <pic:cNvPicPr/>
                  </pic:nvPicPr>
                  <pic:blipFill>
                    <a:blip xmlns:r="http://schemas.openxmlformats.org/officeDocument/2006/relationships" cstate="print" r:embed="N103E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60" w:type="default"/>
      <w:footerReference xmlns:r="http://schemas.openxmlformats.org/officeDocument/2006/relationships" r:id="N104F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0" Target="header1.xml" Type="http://schemas.openxmlformats.org/officeDocument/2006/relationships/header"/><Relationship Id="N104F4" Target="footer1.xml" Type="http://schemas.openxmlformats.org/officeDocument/2006/relationships/footer"/><Relationship Id="N103EA" Target="media/N103E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7" Target="media/N104C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