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EWEA 2013: B&amp;R brings your visions to life</w:t>
      </w:r>
    </w:p>
    <w:p>
      <w:pPr>
        <w:pStyle w:val="label-first"/>
        <w:keepNext/>
        <w:ind w:left="0"/>
      </w:pPr>
      <w:r>
        <w:rPr>
          <w:b/>
          <w:sz w:val="20"/>
        </w:rPr>
        <w:t xml:space="preserve">Reducing costs with innovative automation solutions</w:t>
      </w:r>
    </w:p>
    <w:p>
      <w:pPr>
        <w:pStyle w:val="par-first"/>
        <w:ind w:left="0"/>
        <w:jc w:val="left"/>
      </w:pPr>
      <w:r>
        <w:rPr>
          <w:i/>
          <w:i/>
        </w:rPr>
        <w:t xml:space="preserve">In Hall B, Booth H20 at the EWEA 2013  from February 4–7, 2013 in Vienna, B&amp;R will be demonstrating how innovative automation solutions can significantly contribute to cost reductions. Optimizing mechanical components through the use of intelligent safety solutions is one way to considerably increase operational safety across the board. As a leader in integrated safety technology, B&amp;R will be demonstrating how the new safety requirements for certification of wind power systems in the GL 2010 guideline can be implemented in an extremely efficient and economical manner. </w:t>
      </w:r>
    </w:p>
    <w:p>
      <w:pPr>
        <w:pStyle w:val="label"/>
        <w:keepNext/>
        <w:ind w:left="0"/>
      </w:pPr>
      <w:r>
        <w:rPr>
          <w:b/>
          <w:sz w:val="20"/>
        </w:rPr>
        <w:t xml:space="preserve">openSAFETY: Safety technology declares its independence</w:t>
      </w:r>
    </w:p>
    <w:p>
      <w:pPr>
        <w:pStyle w:val="par"/>
        <w:ind w:left="0"/>
      </w:pPr>
      <w:r>
        <w:rPr/>
        <w:t xml:space="preserve">The safety system is based on the open, fieldbus-independent safety standard openSAFETY and can be seamlessly integrated with all standard controllers. In addition to digital I/O, it also provides analog or temperature interfaces as well as safe speed measurement up to SIL3 and performance level e.</w:t>
      </w:r>
    </w:p>
    <w:p>
      <w:pPr>
        <w:pStyle w:val="label"/>
        <w:keepNext/>
        <w:ind w:left="0"/>
      </w:pPr>
      <w:r>
        <w:rPr>
          <w:b/>
          <w:sz w:val="20"/>
        </w:rPr>
        <w:t xml:space="preserve">X20 control systems: The first choice for offshore wind parks</w:t>
      </w:r>
    </w:p>
    <w:p>
      <w:pPr>
        <w:pStyle w:val="par"/>
        <w:ind w:left="0"/>
      </w:pPr>
      <w:r>
        <w:rPr/>
        <w:t xml:space="preserve">An additional trade fair highlight on display will be the highly successful X20 control system. Because the system is highly robust, it is the perfect solution for mastering the extreme conditions associated with offshore wind power systems. Modular redundancy solutions – for example for the main controller, the safety system and the real-time Ethernet POWERLINK fieldbus – maximize the availability of the system. Time-consuming and costly re-engineering is therefore unnecessary. In addition, B&amp;R's intelligent condition monitoring solution is easy to use and makes it possible to coordinate maintenance more effectively to avoid system downtime.</w:t>
      </w:r>
    </w:p>
    <w:p>
      <w:pPr>
        <w:pStyle w:val="label"/>
        <w:keepNext/>
        <w:ind w:left="0"/>
      </w:pPr>
      <w:r>
        <w:rPr>
          <w:b/>
          <w:sz w:val="20"/>
        </w:rPr>
        <w:t xml:space="preserve">APROL process control systems – The best solution for wind power systems</w:t>
      </w:r>
    </w:p>
    <w:p>
      <w:pPr>
        <w:pStyle w:val="par"/>
        <w:ind w:left="0"/>
      </w:pPr>
      <w:r>
        <w:rPr/>
        <w:t xml:space="preserve">The scalable APROL process control system allows efficient manufacturer-independent management of entire wind parks – from just a few systems all the way up to large parks that include many thousands of systems with an additional higher level hierarchy. Integrated data management, reporting with unlimited configuration possibilities and Audit Trail – for certified logging of all interactions – are included as standard features. Several algorithms for things like park power management can also be easily implemented and executed on the process control system.</w:t>
      </w:r>
    </w:p>
    <w:p>
      <w:pPr>
        <w:pStyle w:val="label"/>
        <w:keepNext/>
        <w:ind w:left="0"/>
      </w:pPr>
      <w:r>
        <w:rPr>
          <w:b/>
          <w:sz w:val="20"/>
        </w:rPr>
        <w:t xml:space="preserve">B&amp;R systems for future proofing wind power systems</w:t>
      </w:r>
    </w:p>
    <w:p>
      <w:pPr>
        <w:pStyle w:val="par"/>
        <w:ind w:left="0"/>
      </w:pPr>
      <w:r>
        <w:rPr/>
        <w:t xml:space="preserve">Code generation for MATLAB/Simulink makes it possible to transfer sophisticated control algorithms to B&amp;R systems that maximize energy yield while minimizing the load on machine components with a simple click of the mouse. This is but one way of meeting the challenges presented by wind turbines, a crucial technology as we move into the future. At the 2013 EWEA trade fair, B&amp;R expert automation solution specialists will once again be placing the focus squarely where it belongs – on quality, availability and overall safety. </w:t>
      </w:r>
    </w:p>
    <w:p/>
    <w:bookmarkStart w:id="7" w:name="_XREFN10050"/>
    <w:bookmarkStart w:id="8" w:name="_XREFN10055"/>
    <w:p>
      <w:pPr>
        <w:spacing w:after="200" w:before="0"/>
        <w:ind w:left="0"/>
      </w:pPr>
      <w:r>
        <w:drawing>
          <wp:inline xmlns:wp="http://schemas.openxmlformats.org/drawingml/2006/wordprocessingDrawing" distB="0" distL="0" distR="0" distT="0">
            <wp:extent cx="3600000" cy="2025000"/>
            <wp:effectExtent b="0" l="0" r="0" t="0"/>
            <wp:docPr id="1" name="PM_EW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_EWEA"/>
                    <pic:cNvPicPr/>
                  </pic:nvPicPr>
                  <pic:blipFill>
                    <a:blip xmlns:r="http://schemas.openxmlformats.org/officeDocument/2006/relationships" cstate="print" r:embed="N103EA"/>
                    <a:stretch>
                      <a:fillRect/>
                    </a:stretch>
                  </pic:blipFill>
                  <pic:spPr>
                    <a:xfrm>
                      <a:off x="0" y="0"/>
                      <a:ext cx="3600000" cy="2025000"/>
                    </a:xfrm>
                    <a:prstGeom prst="rect">
                      <a:avLst/>
                    </a:prstGeom>
                  </pic:spPr>
                </pic:pic>
              </a:graphicData>
            </a:graphic>
          </wp:inline>
        </w:drawing>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60" w:type="default"/>
      <w:footerReference xmlns:r="http://schemas.openxmlformats.org/officeDocument/2006/relationships" r:id="N104F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0" Target="header1.xml" Type="http://schemas.openxmlformats.org/officeDocument/2006/relationships/header"/><Relationship Id="N104F4" Target="footer1.xml" Type="http://schemas.openxmlformats.org/officeDocument/2006/relationships/footer"/><Relationship Id="N103EA" Target="media/N103E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7" Target="media/N104C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