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gospodarzem posiedzenia Komitetu OMAC poświęconego opracowaniu uniwersalnych standardów dla przemysłu opakowaniowego</w:t>
      </w:r>
    </w:p>
    <w:p>
      <w:pPr>
        <w:pStyle w:val="par-first"/>
        <w:ind w:left="0"/>
        <w:jc w:val="left"/>
      </w:pPr>
      <w:r>
        <w:rPr>
          <w:i/>
          <w:i/>
        </w:rPr>
        <w:t xml:space="preserve">Członkowie komitetów PackML i PackSpec utworzonych w ramach Grupy Roboczej ds. Opakowań OMAC odbyli serię spotkań w dniach 4-5 grudnia, w siedzibie B&amp;R Industrial Automation w Atlancie, w celu opracowania metod ułatwiających implementację i obsługę PackML oraz w celu stworzenia uniwersalnej specyfikacji systemów sterowania w odniesieniu do maszyn pakujących, na podstawie wytycznych zawartych w OMAC Packaging Guidelines.</w:t>
      </w:r>
    </w:p>
    <w:p>
      <w:pPr>
        <w:pStyle w:val="par"/>
        <w:ind w:left="0"/>
      </w:pPr>
      <w:r>
        <w:rPr/>
        <w:t xml:space="preserve">“Już sama możliwość dostępu do ogólnych specyfikacji zawierających także opis najlepszych praktyk stosowanych przez światowych liderów uzasadnia koszty członkostwa w OMAC ponoszone przez producentów opakowań, integratorów i dostawców urządzeń, niezależnie od uzyskiwanych przez nich dochodów oraz położenia geograficznego” podkreśla John Kowal, członek rady nadzorczej OMAC i PMMI uczestniczący w wydarzeniu w charakterze obserwatora. Uproszczenie standardu PackML ułatwia małym i średnim firmom dostęp do praktyk pozwalających podnieść jakość produkcji, takich jak OEE, przy jednoczesnym szybszym ich wdrażaniu przez kolejne firmy z rankingu Global 2000. Naturalnie, obecni członkowie OMAC odniosą największe korzyści, po pierwsze dzięki możliwości przekazania własnych sugestii i rozwiązań, a po drugie dzięki możliwości wykorzystania takich rozwiązań bez opóźnień, już na samym początku.</w:t>
      </w:r>
    </w:p>
    <w:p>
      <w:pPr>
        <w:pStyle w:val="par"/>
        <w:ind w:left="0"/>
      </w:pPr>
      <w:r>
        <w:rPr/>
        <w:t xml:space="preserve">Na podstawie pierwszych doświadczeń wynikających ze stosowania standardu PackML, komitety doprecyzowały i uprościły język ISA TR88.00.02 oraz określiły najczęściej stosowane instrukcje PackTags umożliwiające projektantom i użytkownikom osiągnięcie zwrotu z inwestycji w możliwie jak najkrótszym czasie. Celem grupy jest przedstawienie wprowadzonych zmian i umożliwienie ich ratyfikacji podczas dorocznego posiedzenia OMAC organizowanego wspólnie z ARC Automation Forum od 11 do 14 lutego 2013 r. w Orlando na Florydzie. PackSpec dostosowała swoją specyfikację do zmian w PackML w celu przeprowadzenia testów wersji beta specyfikacji wraz z użytkownikami końcowymi i OEM oraz opracowania protokołu testów. Celem na przyszłość jest opracowanie narzędzia zgodności oprogramowania z PackML.</w:t>
      </w:r>
    </w:p>
    <w:p>
      <w:pPr>
        <w:pStyle w:val="par"/>
        <w:ind w:left="0"/>
      </w:pPr>
      <w:r>
        <w:rPr/>
        <w:t xml:space="preserve">Zespoły wspólnie nakreśliły zadania w ramach planu pięcioletniego, które będą przedstawione kierownictwu Grupy Roboczej ds. Opakowań OMAC (OMAC Packaging Workgroup), obejmujące zmiany do TR88, działania edukacyjno-szkoleniowe, model programowania modułowego oraz harmonizację z protokołem Weihenstephan. “Było to najbardziej owocne spotkanie OMAC, w jakim brałem udział. Zebranie obu grup w jednym miejscu ułatwiło prowadzenie prac i umożliwiło realizację założonych celów” ocenił Marc Wolf, członek PackSpec Group i Dyrektor B&amp;R Business Development.</w:t>
      </w:r>
    </w:p>
    <w:p>
      <w:pPr>
        <w:pStyle w:val="par"/>
        <w:ind w:left="0"/>
      </w:pPr>
      <w:r>
        <w:rPr/>
        <w:t xml:space="preserve">Uczestnikami warsztatów byli nowi członkowie OMAC - SMC oraz Patti Engineering - a także przedstawiciele firm Bosch Rexroth, B&amp;R, GE Intelligent Systems, Invensys, Lenze, Nestlé, Nestlé Purina, Omron, PepsiCo, Procter &amp; Gamble, Rockwell Automation, Sidel oraz Siemens.</w:t>
      </w:r>
    </w:p>
    <w:p>
      <w:pPr>
        <w:pStyle w:val="headline-content-1"/>
        <w:keepNext/>
      </w:pPr>
      <w:r>
        <w:rPr>
          <w:rStyle w:val="headline-content-run1"/>
          <w:sz w:val="16"/>
        </w:rPr>
        <w:t xml:space="preserve">O B&amp;R</w:t>
      </w:r>
    </w:p>
    <w:p>
      <w:pPr>
        <w:pStyle w:val="par"/>
        <w:ind w:left="0"/>
      </w:pPr>
      <w:r>
        <w:rPr/>
        <w:t xml:space="preserve">B&amp;R to prywatne przedsiębiorstwo z siedzibą w Austrii i przedstawicielstwami na całym świecie. Jako globalny lider w automatyce przemysłowej, B&amp;R łączy najnowocześniejsze technologie z kunsztem inżynieryjnym, oferując klientom z praktycznie każdej branży kompleksowe rozwiązania z zakresu automatyki maszyn i procesów, sterowania napędem, interfejsów HMI oraz zintegrowanej technologii bezpieczeństwa. Dzięki standardom komunikacyjnych magistrali przemysłowych typu POWERLINK i openSAFETY, oraz oferującemu ogromne możliwości środowisku do projektowania Automation Studio, firma B&amp;R wciąż na nowo definiuje przyszłość inżynierii maszyn i automatyki. U źródeł innowacyjności, która pozwala B&amp;R zachować pozycję lidera w dziedzinie automatyki przemysłowej, leży silna potrzeba upraszczania procesów oraz wychodzenia naprzód oczekiwaniom klientów.</w:t>
      </w:r>
    </w:p>
    <w:p>
      <w:pPr>
        <w:pStyle w:val="par"/>
        <w:ind w:left="0"/>
      </w:pPr>
      <w:r>
        <w:rPr/>
        <w:t xml:space="preserve">Aby uzyskać więcej informacji odwiedź stronę www.br-automation.com</w:t>
      </w:r>
    </w:p>
    <w:p>
      <w:pPr>
        <w:pStyle w:val="par"/>
        <w:ind w:left="0"/>
      </w:pPr>
      <w:r>
        <w:rPr>
          <w:b/>
        </w:rPr>
        <w:t xml:space="preserve">Wydawnictwa dokonujące przedruku opublikowanych tu informacji prasowych prosimy o przesłanie ich kopii do:</w:t>
      </w:r>
    </w:p>
    <w:p>
      <w:pPr>
        <w:pStyle w:val="par"/>
        <w:ind w:left="0"/>
      </w:pPr>
      <w:r>
        <w:rPr/>
        <w:t xml:space="preserve">B&amp;R Industrial Automation Corp. </w:t>
      </w:r>
      <w:r>
        <w:br w:type="textWrapping"/>
      </w:r>
      <w:r>
        <w:rPr/>
        <w:t xml:space="preserve">Attn: Ilona Kanas </w:t>
      </w:r>
      <w:r>
        <w:br w:type="textWrapping"/>
      </w:r>
      <w:r>
        <w:rPr/>
        <w:t xml:space="preserve">ul. Strzeszyńska 33 </w:t>
      </w:r>
      <w:r>
        <w:br w:type="textWrapping"/>
      </w:r>
      <w:r>
        <w:rPr/>
        <w:t xml:space="preserve">60-479 Poznań</w:t>
      </w:r>
    </w:p>
    <w:p/>
    <w:bookmarkStart w:id="11" w:name="_XREFN10032"/>
    <w:bookmarkStart w:id="12" w:name="_XREFN1003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1713830"/>
            <wp:effectExtent b="0" l="0" r="0" t="0"/>
            <wp:docPr id="1" name="OMAC Committee Meeting Group_B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MAC Committee Meeting Group_BuR"/>
                    <pic:cNvPicPr/>
                  </pic:nvPicPr>
                  <pic:blipFill>
                    <a:blip xmlns:r="http://schemas.openxmlformats.org/officeDocument/2006/relationships" cstate="print" r:embed="N103E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Członkowie komitetów PackML i PackSpec utworzonych w ramach Grupy Roboczej ds. Opakowań OMAC odbyli serię spotkań w dniach 4-5 grudnia, w siedzibie B&amp;R Industrial Automation w Atlancie, w celu opracowania metod ułatwiających implementację i obsługę PackML oraz w celu stworzenia uniwersalnej specyfikacji systemów sterowania w odniesieniu do maszyn pakujących, na podstawie wytycznych zawartych w OMAC Packaging Guidelines.</w:t>
      </w:r>
    </w:p>
    <w:bookmarkEnd w:id="12"/>
    <w:bookmarkEnd w:id="11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66" w:type="default"/>
      <w:footerReference xmlns:r="http://schemas.openxmlformats.org/officeDocument/2006/relationships" r:id="N104F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C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6" Target="header1.xml" Type="http://schemas.openxmlformats.org/officeDocument/2006/relationships/header"/><Relationship Id="N104FA" Target="footer1.xml" Type="http://schemas.openxmlformats.org/officeDocument/2006/relationships/footer"/><Relationship Id="N103E5" Target="media/N103E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D" Target="media/N104C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