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Engineering-Know-how vollumfänglich schützen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Maschinenhersteller und -anwender profitieren gleichermaßen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Bereits im Jahr 2012 haben B&amp;R und die Wibu-Systems AG eine gemeinsame Zusammenarbeit beschlossen. „Von den Security-Funktionen profitieren sowohl die Maschinenhersteller als auch die Maschinenanwender“, sagt Hans Wimmer, Managing Director bei B&amp;R. Kunden können in Zukunft den Quellcode ihrer Software im B&amp;R Automation Studio schützen. Weiterhin kann für die Steuerungen und die Industrie-PCs geschützter Programmcode erzeugt werden.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Sicherheit vor Kopie, Analyse und Manipulation</w:t>
      </w:r>
    </w:p>
    <w:p>
      <w:pPr>
        <w:pStyle w:val="par"/>
        <w:ind w:left="0"/>
      </w:pPr>
      <w:r>
        <w:rPr/>
        <w:t xml:space="preserve">Der Programmcode ist vor zahlreichen Angriffen geschützt, so lässt sich der Code nicht auf andere Zielsysteme kopieren. Er kann ebenso wenig analysiert werden, was ein Reverse-Engineering verhindert. Es ist nicht möglich, den Code unberechtigt zu verändern, etwa bei einem Angriff durch Stuxnet. Damit ist voller Integritätsschutz gewährleistet.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Eigene Geschäftsmodelle umsetzen</w:t>
      </w:r>
    </w:p>
    <w:p>
      <w:pPr>
        <w:pStyle w:val="par"/>
        <w:ind w:left="0"/>
      </w:pPr>
      <w:r>
        <w:rPr/>
        <w:t xml:space="preserve">Weiterhin können B&amp;R-Kunden neue Geschäftsmodelle umsetzen und mit Pay-per-Use oder Feature-on-Demand nachträglich Funktionen freischalten und verkaufen. Die gleichen Mechanismen, die B&amp;R-Kunden verwenden, nutzt auch B&amp;R selbst für Technologiefunktionen. Damit können die Kunden maßgeschneidert diejenigen Komponenten lizenzieren, die sie benötigen.  </w:t>
      </w:r>
    </w:p>
    <w:p>
      <w:pPr>
        <w:pStyle w:val="par"/>
        <w:ind w:left="0"/>
      </w:pPr>
      <w:r>
        <w:rPr/>
        <w:t xml:space="preserve">„Wir freuen uns sehr, dass sich B&amp;R für eine Partnerschaft mit Wibu-Systems entschieden hat“, sagt Oliver Winzenried, Vorstand von Wibu-Systems. „Unsere langjährige Erfahrung, intensive Investitionen im Bereich industrieller Anwendungen bei unserer Smart-Card-basierten CmDongle-Hardware als USB-Stick oder µSD-, SD- oder CF-Karte sowie der softwarebasierten Lösung CmActLicense haben zu dieser Entscheidung geführt.“  </w:t>
      </w:r>
    </w:p>
    <w:p/>
    <w:bookmarkStart w:id="6" w:name="_XREFN10062"/>
    <w:bookmarkStart w:id="7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36400"/>
            <wp:effectExtent b="0" l="0" r="0" t="0"/>
            <wp:docPr id="1" name="BuR_Wibu Coop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Wibu Cooperation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dem neuen Software-Schutz für Programmcode schützen B&amp;R-Kunden ihr Engineering-Know-how optimal.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