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Úzká spolupráce mezi společnostmi Intel® a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Špičkový výpočetní a grafický výkon k využití v automatizaci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Procesory nových generací si po svém uvedení na trh dosud zpravidla našly cestu nejprve do kancelářských a domácích počítačů.  Průmyslová PC většinou zůstávala pozadu a dokázala nabídnout odpovídající nárůst výkonnosti a multimediálních schopností teprve s určitým zpožděním.  Což ovšem není případ nového průmyslového počítače Automation PC 910 od společnosti B&amp;R.  Tento počítač byl vyvinut v těsné spolupráci s výrobcem polovodičů Intel® z USA, který v téže době připravoval třetí generaci svých procesorů řady Core™ i.  Jakmile procesorové jednotky Intel® Core™ i3, Core™ i5 a Core™ i7 s až čtyřmi jádry začaly být komerčně dostupné, byly okamžitě využity v počítačích řady Automation PC od společnosti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Intel® a B&amp;R: vyšší výkonnost pro další generaci techniky</w:t>
      </w:r>
    </w:p>
    <w:p>
      <w:pPr>
        <w:pStyle w:val="par"/>
        <w:ind w:left="0"/>
      </w:pPr>
      <w:r>
        <w:rPr/>
        <w:t xml:space="preserve">„Procesory Intel® Core™ i7 třetí generace nabízejí ve spojení s koncepcí průmyslových PC značky B&amp;R výkonnost a technologii I/O, které jsou v současnosti bezkonkurenční,“ říká Matt Langman, ředitel marketingu ve skupině Intelligent Systems Group firmy Intel.  „Tyto výpočetní systémy poskytují výkonnost potřebnou ke splnění požadavků kladených budoucími automatizačními a řídicími systémy.“ Uvedené procesory ve spojení s rovněž novou čipovou sadou QM77 Express představují v současnosti nejvýkonnější výpočetní prostředek dostupný k použití v průmyslových počítačích.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Integrovaný hardware s větší grafickou výkonností</w:t>
      </w:r>
    </w:p>
    <w:p>
      <w:pPr>
        <w:pStyle w:val="par"/>
        <w:ind w:left="0"/>
      </w:pPr>
      <w:r>
        <w:rPr/>
        <w:t xml:space="preserve">Integrace grafického hardwaru přímo na čip procesoru zvýšila grafickou výkonnost systému a umožňuje s použitím aplikačního rozhraní (API) verze DirectX 11 vytvářet složitá 2D i 3D grafická zobrazení.  Dále jsou podporovány audio výstup, ukazovací a vstupní zařízení a síťová komunikace.  Vedle několika rozhraní USB 3.0, dvou gigabitových ethernetových portů a sériového rozhraní jsou k počítači Automation PC 910 v rámci rozsáhlé volitelné výbavy k dispozici také přídavná modulární rozhraní pro komunikační sběrnice, např. RS-485 a CAN.</w:t>
      </w:r>
    </w:p>
    <w:p>
      <w:pPr>
        <w:pStyle w:val="par"/>
        <w:ind w:left="0"/>
      </w:pPr>
      <w:r>
        <w:rPr/>
        <w:t xml:space="preserve">Další informace o průmyslovém počítači Automation PC 910, prvním výpočetním systému používajícím nové procesory Intel® Core™ i v průmyslovém prostředí, lze nalézt ve společně vydané „bílé knize“ dostupné na následujících webových stánkách společností Intel a B&amp;R: </w:t>
      </w:r>
      <w:r>
        <w:rPr/>
        <w:fldChar w:fldCharType="begin"/>
      </w:r>
      <w:r>
        <w:rPr/>
        <w:instrText xml:space="preserve">HYPERLINK "http://www.intel.com/content/www/us/en/industrial-automation/industrial-computer-performance-brief.html"</w:instrText>
      </w:r>
      <w:r>
        <w:fldChar w:fldCharType="separate"/>
      </w:r>
      <w:r>
        <w:rPr/>
        <w:t>http://www.intel.com/content/www/us/en/industrial-automation/industrial-computer-performance-brief.html</w:t>
      </w:r>
      <w:r>
        <w:fldChar w:fldCharType="end"/>
      </w:r>
      <w:r>
        <w:rPr/>
        <w:t xml:space="preserve"> and </w:t>
      </w:r>
      <w:r>
        <w:rPr/>
        <w:fldChar w:fldCharType="begin"/>
      </w:r>
      <w:r>
        <w:rPr/>
        <w:instrText xml:space="preserve">HYPERLINK "http://www.br-automation.com/en/company/press-room/close-cooperation-between-intel-and-br/"</w:instrText>
      </w:r>
      <w:r>
        <w:fldChar w:fldCharType="separate"/>
      </w:r>
      <w:r>
        <w:rPr/>
        <w:t>http://www.br-automation.com/en/company/press-room/close-cooperation-between-intel-and-br/</w:t>
      </w:r>
      <w:r>
        <w:fldChar w:fldCharType="end"/>
      </w:r>
      <w:r>
        <w:rPr/>
        <w:t xml:space="preserve">.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fldChar w:fldCharType="begin"/>
      </w:r>
      <w:r>
        <w:instrText xml:space="preserve">HYPERLINK "https://smc.br-automation.com/image?uri=/Corporate Website/01 Company/03 Press Room/Press Releases/Press Releases Headquarters/Press Releases until2014/2013/2013_04_22 (Enge Kooperation von Intel® und BuR)/industrial-computer-performance-brief.theme&amp;versionLabel=1.0&amp;itemName=original&amp;extension=pdf&amp;serverID=JACKRABBIT&amp;language=de&amp;objType=file"</w:instrText>
      </w:r>
      <w:r>
        <w:fldChar w:fldCharType="separate"/>
      </w:r>
      <w:r>
        <w:t>White Paper</w:t>
      </w:r>
      <w:r>
        <w:fldChar w:fldCharType="end"/>
      </w:r>
    </w:p>
    <w:p/>
    <w:bookmarkStart w:id="6" w:name="_XREFN1005F"/>
    <w:bookmarkStart w:id="7" w:name="_XREFN10064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4462715"/>
            <wp:effectExtent b="0" l="0" r="0" t="0"/>
            <wp:docPr id="1" name="BuR_Intel APC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Intel APC910"/>
                    <pic:cNvPicPr/>
                  </pic:nvPicPr>
                  <pic:blipFill>
                    <a:blip xmlns:r="http://schemas.openxmlformats.org/officeDocument/2006/relationships" cstate="print" r:embed="N104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46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89" w:type="default"/>
      <w:footerReference xmlns:r="http://schemas.openxmlformats.org/officeDocument/2006/relationships" r:id="N1051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9" Target="header1.xml" Type="http://schemas.openxmlformats.org/officeDocument/2006/relationships/header"/><Relationship Id="N1051D" Target="footer1.xml" Type="http://schemas.openxmlformats.org/officeDocument/2006/relationships/footer"/><Relationship Id="N10413" Target="media/N1041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0" Target="media/N104F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