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Estrecha cooperación entre Intel® y B&amp;R</w:t>
      </w:r>
    </w:p>
    <w:p>
      <w:pPr>
        <w:pStyle w:val="label-first"/>
        <w:keepNext/>
        <w:ind w:left="0"/>
      </w:pPr>
      <w:r>
        <w:rPr>
          <w:b/>
          <w:sz w:val="20"/>
        </w:rPr>
        <w:t xml:space="preserve">Máximo rendimiento de cálculo y gráfico para la automatización</w:t>
      </w:r>
    </w:p>
    <w:p>
      <w:pPr>
        <w:pStyle w:val="par-first"/>
        <w:ind w:left="0"/>
        <w:jc w:val="left"/>
      </w:pPr>
      <w:r>
        <w:rPr>
          <w:i/>
          <w:i/>
        </w:rPr>
        <w:t xml:space="preserve">Hasta ahora, el uso de procesadores de nueva generación se limitaba a los ordenadores domésticos y de oficina. A menudo, los PCs industriales tardaban en ponerse al día en cuanto a capacidad de rendimiento y multimedia. Éste no es el caso del nuevo Automation PC 910 de B&amp;R. Este sistema se ha desarrollado en estrecha colaboración con el fabricante de semiconductores estadounidense Intel® que, últimamente, ha estado ocupado en el diseño de su tercera generación de procesadores Core™ i-series. Cuando llegaron al mercado las CPU Intel® Core™ i3, Core™ i5 y Core™ i7 con hasta cuatro núcleos, se introdujeron de inmediato en la serie Automation PC de B&amp;R.</w:t>
      </w:r>
    </w:p>
    <w:p>
      <w:pPr>
        <w:pStyle w:val="label"/>
        <w:keepNext/>
        <w:ind w:left="0"/>
      </w:pPr>
      <w:r>
        <w:rPr>
          <w:b/>
          <w:sz w:val="20"/>
        </w:rPr>
        <w:t xml:space="preserve">Intel® y B&amp;R: Rendimiento superior para la tecnología de última generación</w:t>
      </w:r>
    </w:p>
    <w:p>
      <w:pPr>
        <w:pStyle w:val="par"/>
        <w:ind w:left="0"/>
      </w:pPr>
      <w:r>
        <w:rPr/>
        <w:t xml:space="preserve">"Junto con el diseño del PC industrial de B&amp;R, la 3ª generación de procesadores Intel® Core™ i7 ofrece un rendimiento y una tecnologías de E/S inigualables", comenta Matt Langman, Director de Marketing para el Grupo de Sistemas Inteligentes de Intel. "These systems provide the power needed to meet the intensive processing requirements of future automation and control applications."Together with the new QM77 Express chipset, these processors currently represent the maximum performance available for industrial computers.</w:t>
      </w:r>
    </w:p>
    <w:p>
      <w:pPr>
        <w:pStyle w:val="label"/>
        <w:keepNext/>
        <w:ind w:left="0"/>
      </w:pPr>
      <w:r>
        <w:rPr>
          <w:b/>
          <w:sz w:val="20"/>
        </w:rPr>
        <w:t xml:space="preserve">El hardware integrado aumenta el rendimiento gráfico</w:t>
      </w:r>
    </w:p>
    <w:p>
      <w:pPr>
        <w:pStyle w:val="par"/>
        <w:ind w:left="0"/>
      </w:pPr>
      <w:r>
        <w:rPr/>
        <w:t xml:space="preserve">La integración de los gráficos directamente en el chip del procesador aumenta el rendimiento gráfico y permite utilizar el interface de programación DirectX 11 API para visualizar gráficos 2D y 3D complejos. También proporciona soporte para la salida de audio, los dispositivos de entrada y apuntadores, así como la comunicación en red.  Todas estas extensas opciones disponibles en el Automation PC 910 se completan con interfaces USB 3.0, 2 puertos Gigabit Ethernet, un interface serie e interfaces modulares adicionales para redes de comunicación, como RS-485 y CAN.</w:t>
      </w:r>
    </w:p>
    <w:p>
      <w:pPr>
        <w:pStyle w:val="par"/>
        <w:ind w:left="0"/>
      </w:pPr>
      <w:r>
        <w:rPr/>
        <w:t xml:space="preserve">Para más información sobre el Automation PC 910, el primer sistema en utilizar los nuevos procesadores Core™ i de Intel en un entorno industrial, puede consultar el libro blanco publicado conjuntamente por Intel y B&amp;R, disponible en las siguientes páginas web: </w:t>
      </w:r>
      <w:r>
        <w:rPr/>
        <w:fldChar w:fldCharType="begin"/>
      </w:r>
      <w:r>
        <w:rPr/>
        <w:instrText xml:space="preserve">HYPERLINK "http://www.intel.com/content/www/us/en/industrial-automation/industrial-computer-performance-brief.html"</w:instrText>
      </w:r>
      <w:r>
        <w:fldChar w:fldCharType="separate"/>
      </w:r>
      <w:r>
        <w:rPr/>
        <w:t>http://www.intel.com/content/www/us/en/industrial-automation/industrial-computer-performance-brief.html</w:t>
      </w:r>
      <w:r>
        <w:fldChar w:fldCharType="end"/>
      </w:r>
      <w:r>
        <w:rPr/>
        <w:t xml:space="preserve"> y </w:t>
      </w:r>
      <w:r>
        <w:rPr/>
        <w:fldChar w:fldCharType="begin"/>
      </w:r>
      <w:r>
        <w:rPr/>
        <w:instrText xml:space="preserve">HYPERLINK "http://www.br-automation.com/en/company/press-room/close-cooperation-between-intel-and-br/"</w:instrText>
      </w:r>
      <w:r>
        <w:fldChar w:fldCharType="separate"/>
      </w:r>
      <w:r>
        <w:rPr/>
        <w:t>http://www.br-automation.com/en/company/press-room/close-cooperation-between-intel-and-br/</w:t>
      </w:r>
      <w:r>
        <w:fldChar w:fldCharType="end"/>
      </w:r>
      <w:r>
        <w:rPr/>
        <w:t xml:space="preserve">.</w:t>
      </w:r>
    </w:p>
    <w:p>
      <w:pPr>
        <w:numPr>
          <w:ilvl w:val="0"/>
          <w:numId w:val="7"/>
        </w:numPr>
        <w:tabs>
          <w:tab w:pos="250" w:val="left"/>
          <w:tab w:leader="dot" w:pos="9639" w:val="right"/>
        </w:tabs>
        <w:ind w:hanging="100" w:left="100"/>
      </w:pPr>
      <w:r>
        <w:fldChar w:fldCharType="begin"/>
      </w:r>
      <w:r>
        <w:instrText xml:space="preserve">HYPERLINK "https://smc.br-automation.com/image?uri=/Corporate Website/01 Company/03 Press Room/Press Releases/Press Releases Headquarters/Press Releases until2014/2013/2013_04_22 (Enge Kooperation von Intel® und BuR)/industrial-computer-performance-brief.theme&amp;versionLabel=1.0&amp;itemName=original&amp;extension=pdf&amp;serverID=JACKRABBIT&amp;language=de&amp;objType=file"</w:instrText>
      </w:r>
      <w:r>
        <w:fldChar w:fldCharType="separate"/>
      </w:r>
      <w:r>
        <w:t>White Paper</w:t>
      </w:r>
      <w:r>
        <w:fldChar w:fldCharType="end"/>
      </w:r>
    </w:p>
    <w:p/>
    <w:bookmarkStart w:id="6" w:name="_XREFN1005F"/>
    <w:bookmarkStart w:id="7" w:name="_XREFN10064"/>
    <w:p>
      <w:pPr>
        <w:spacing w:after="200" w:before="0"/>
        <w:ind w:left="0"/>
      </w:pPr>
      <w:r>
        <w:drawing>
          <wp:inline xmlns:wp="http://schemas.openxmlformats.org/drawingml/2006/wordprocessingDrawing" distB="0" distL="0" distR="0" distT="0">
            <wp:extent cx="3600000" cy="4462715"/>
            <wp:effectExtent b="0" l="0" r="0" t="0"/>
            <wp:docPr id="1" name="BuR_Intel APC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Intel APC910"/>
                    <pic:cNvPicPr/>
                  </pic:nvPicPr>
                  <pic:blipFill>
                    <a:blip xmlns:r="http://schemas.openxmlformats.org/officeDocument/2006/relationships" cstate="print" r:embed="N10413"/>
                    <a:stretch>
                      <a:fillRect/>
                    </a:stretch>
                  </pic:blipFill>
                  <pic:spPr>
                    <a:xfrm>
                      <a:off x="0" y="0"/>
                      <a:ext cx="3600000" cy="4462715"/>
                    </a:xfrm>
                    <a:prstGeom prst="rect">
                      <a:avLst/>
                    </a:prstGeom>
                  </pic:spPr>
                </pic:pic>
              </a:graphicData>
            </a:graphic>
          </wp:inline>
        </w:drawing>
      </w:r>
    </w:p>
    <w:bookmarkEnd w:id="7"/>
    <w:bookmarkEnd w:id="6"/>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89" w:type="default"/>
      <w:footerReference xmlns:r="http://schemas.openxmlformats.org/officeDocument/2006/relationships" r:id="N1051D"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F0"/>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89" Target="header1.xml" Type="http://schemas.openxmlformats.org/officeDocument/2006/relationships/header"/><Relationship Id="N1051D" Target="footer1.xml" Type="http://schemas.openxmlformats.org/officeDocument/2006/relationships/footer"/><Relationship Id="N10413" Target="media/N10413.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F0" Target="media/N104F0.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