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Непрерывный рост продаж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Успешная выставка в Ганновере</w:t>
      </w:r>
    </w:p>
    <w:p>
      <w:pPr>
        <w:pStyle w:val="par-first"/>
        <w:ind w:left="0"/>
        <w:jc w:val="left"/>
      </w:pPr>
      <w:r>
        <w:rPr>
          <w:i/>
          <w:i/>
        </w:rPr>
        <w:t xml:space="preserve">Подведя итог на выставке в Ганновере, B&amp;R получила возможность оглянуться на успешный 2012 год и составить оптимистичный прогноз на 2013 год. Достигнув объема продаж в 430 миллионов евро, этот поставщик инновационных решений автоматизации объявил о пятипроцентном увеличении за предыдущий год, что подтверждает его устойчивый рост после короткого спада в 2009 году. В свете положительных тенденций продаж B&amp;R ожидает дальнейший семипроцентный рост в этом году до 465 миллионов евро.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Интегрированная промышленность – стратегия B&amp;R на десятилетия</w:t>
      </w:r>
    </w:p>
    <w:p>
      <w:pPr>
        <w:pStyle w:val="par"/>
        <w:ind w:left="0"/>
      </w:pPr>
      <w:r>
        <w:rPr/>
        <w:t xml:space="preserve">Стенд B&amp;R в Ганновере был идеальным воплощением темы выставки этого года – интегрированной промышленности. "Несколько десятилетий основная стратегия B&amp;R была сосредоточена на поставке комплексных и унифицированных решений автоматизации, использующих открытые технологии для упрощения интегрированных промышленных приложений", – говорит Ханс Виммер, исполнительный директор B&amp;R. "Как следствие, наша компания продолжает позиционироваться как партнер по технологии, обеспечивая решения не только для задач в области современного автоматизированного промышленного производства, но и для задач в будущем".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Устойчивый рост за счет инноваций</w:t>
      </w:r>
    </w:p>
    <w:p>
      <w:pPr>
        <w:pStyle w:val="par"/>
        <w:ind w:left="0"/>
      </w:pPr>
      <w:r>
        <w:rPr/>
        <w:t xml:space="preserve">Только за прошлый год B&amp;R инвестировала более 400 человеко-лет в исследования и разработку. Кроме того, 400 инженеров во всем мире работают над внедрением инновационных программных решений для клиентов. Это стремление к инновациям помогает B&amp;R надежно удерживать положение технологического лидера и поддерживает ее постоянный внутренний рост. Этот рост также отражается в непрерывно растущем глобальном трудовом коллективе B&amp;R, который в настоящее время насчитывает 2400 служащих.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Ветроэнергетика – движущая сила из числа возобновляемых источников энергии</w:t>
      </w:r>
    </w:p>
    <w:p>
      <w:pPr>
        <w:pStyle w:val="par"/>
        <w:ind w:left="0"/>
      </w:pPr>
      <w:r>
        <w:rPr/>
        <w:t xml:space="preserve">Выставка в Ганновере также была местом проведения ведущей международной торговой выставки технологии ветрогенераторов, компонентов и услуг. Это еще одна область, в которой B&amp;R могла праздновать успех. Несмотря на изменчивый год, принесший резкий спад в фотогальваническую промышленность и ветроэнергетику, B&amp;R смогла преодолеть спад привлечением новых клиентов и достигла общего роста доли рынка. "Наши клиенты в области возобновляемой энергии также высоко оценивают наши решения, особенно нашу технологию мониторинга безопасности и состояния, и выражают свою оценку постоянно растущим доверием", – говорит Виммер.</w:t>
      </w:r>
    </w:p>
    <w:p/>
    <w:bookmarkStart w:id="6" w:name="_XREFN1005D"/>
    <w:bookmarkStart w:id="7" w:name="_XREFN10062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4683412"/>
            <wp:effectExtent b="0" l="0" r="0" t="0"/>
            <wp:docPr id="1" name="Wimmer H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mmer Hans"/>
                    <pic:cNvPicPr/>
                  </pic:nvPicPr>
                  <pic:blipFill>
                    <a:blip xmlns:r="http://schemas.openxmlformats.org/officeDocument/2006/relationships" cstate="print" r:embed="N103C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68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Ханс Виммер (Hans Wimmer), исполнительный директор B&amp;R: "Наша компания продолжает позиционироваться как партнер по технологии, обеспечивая решения не только для задач в области современного автоматизированного промышленного производства, но и для задач в будущем".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47" w:type="default"/>
      <w:footerReference xmlns:r="http://schemas.openxmlformats.org/officeDocument/2006/relationships" r:id="N104DB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AE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47" Target="header1.xml" Type="http://schemas.openxmlformats.org/officeDocument/2006/relationships/header"/><Relationship Id="N104DB" Target="footer1.xml" Type="http://schemas.openxmlformats.org/officeDocument/2006/relationships/footer"/><Relationship Id="N103C6" Target="media/N103C6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AE" Target="media/N104AE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