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Sello de calidad para la tecnología de servoaccionamiento de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ControlEng singles out service-oriented companies</w:t>
      </w:r>
    </w:p>
    <w:p>
      <w:pPr>
        <w:pStyle w:val="par-first"/>
        <w:ind w:left="0"/>
        <w:jc w:val="left"/>
      </w:pPr>
      <w:r>
        <w:rPr>
          <w:i/>
          <w:i/>
        </w:rPr>
        <w:t xml:space="preserve">Los clientes de B&amp;R están perfectamente equipados para diseñar y dimensionar sus sistemas de servoaccionamiento dentro de la propia solución de automatización. Esto es posible gracias a la versión gratuita de la herramienta de diseño de servoaccionamientos SERVOsoft. Esta herramienta de la compañía canadiense ControlEng está integrada en el software de desarrollo Automation Studio de B&amp;R. Con ella, los desarrolladores pueden seleccionar de forma eficiente y sin esfuerzo los motores, los reductores y los servoaccionamientos de B&amp;R óptimos para cada necesidad. El resultado es un servoaccionamiento perfectamente coordinado con las masas que debe mover, lo cual minimiza el consumo de energía.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Excelente atención al cliente</w:t>
      </w:r>
    </w:p>
    <w:p>
      <w:pPr>
        <w:pStyle w:val="par"/>
        <w:ind w:left="0"/>
      </w:pPr>
      <w:r>
        <w:rPr/>
        <w:t xml:space="preserve">La compañía ControlEng otorga la distinción "Qualified SERVOsoft Partner" (QSP) a las empresas que superan el nivel de soporte recomendado para la herramienta SERVOsoft. Los requisitos incluyen la integración y el mantenimiento de los datos del producto en la base de datos SERVOsoft, así como la atención al cliente con una dirección de correo electrónico específica y expertos en servoaccionamientos formados por ControlEng.  </w:t>
      </w:r>
    </w:p>
    <w:p>
      <w:pPr>
        <w:pStyle w:val="par"/>
        <w:ind w:left="0"/>
      </w:pPr>
      <w:r>
        <w:rPr/>
        <w:t xml:space="preserve">"Ha sido un honor para nosotros recibir esta distinción de una empresa de software independiente como ControlEng", afirma Alois Holzleitner, Director de la Unidad de Negocio Motion de B&amp;R. "Pone de relieve el objetivo compartido por B&amp;R y ControlEng: proporcionar a los ingenieros el soporte que necesitan para desarrollar las mejores máquinas". </w:t>
      </w:r>
    </w:p>
    <w:p/>
    <w:bookmarkStart w:id="5" w:name="_XREFN1005C"/>
    <w:bookmarkStart w:id="6" w:name="_XREFN10061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3530917"/>
            <wp:effectExtent b="0" l="0" r="0" t="0"/>
            <wp:docPr id="1" name="BuR_PR12153_SERVOso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PR12153_SERVOsoft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53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En reconocimiento al soporte que B&amp;R ofrece a los desarrolladores que diseñan servoaccionamientos utilizando SERVOsoft, la empresa canadiense de software ControlEng ha autorizado a B&amp;R para mostrar el sello de calidad QSP.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