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Um novo selo de qualidade para tecnologia de acionamento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ControlEng escolhe empresas orientadas a serviços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clientes da B&amp;R estão agora mais perfeitamente equipados do que nunca para projetar e dimensionar seus sistemas de acionamento no âmbito de sua solução de automação. Isso é possível graças à versão gratuita da ferramenta de design de unidade SERVOsoft da empresa canadense ControlEng, que vem integrada no software de desenvolvimento do Automation Studio da B&amp;R. Esta ferramenta de software permite que os desenvolvedores selecionem de forma eficiente e sem esforço os servo-drives, motores e caixas de velocidades B&amp;R que melhor atendam às suas necessidades específicas. O resultado é um sistema de condução perfeitamente coordenado com as massas que precisa mover, o que também tem o efeito de reduzir o consumo de energia a um mínimo absoluto.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Excelente suporte ao cliente</w:t>
      </w:r>
    </w:p>
    <w:p>
      <w:pPr>
        <w:pStyle w:val="par"/>
        <w:ind w:left="0"/>
      </w:pPr>
      <w:r>
        <w:rPr/>
        <w:t xml:space="preserve">A distinção "Partner SERVOsoft Partner" (QSP) é concedida pela ControlEng Corporation a empresas que ultrapassam o nível recomendado de suporte para a ferramenta SERVOsoft. Os requisitos incluem a integração e manutenção de dados do produto no banco de dados SERVOsoft, um endereço de e-mail dedicado para suporte ao cliente e especialistas treinados treinados pelo ControlEng.  </w:t>
      </w:r>
    </w:p>
    <w:p>
      <w:pPr>
        <w:pStyle w:val="par"/>
        <w:ind w:left="0"/>
      </w:pPr>
      <w:r>
        <w:rPr/>
        <w:t xml:space="preserve">"Temos a honra de ter recebido essa distinção de uma empresa de software independente do fabricante, como o ControlEng", diz Alois Holzleitner, gerente da unidade de negócios da B&amp;R Motion. "Ele destaca o objetivo compartilhado por B&amp;R e ControlEng: fornecer aos engenheiros o suporte que eles precisam para desenvolver máquinas melhores". 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530917"/>
            <wp:effectExtent b="0" l="0" r="0" t="0"/>
            <wp:docPr id="1" name="BuR_PR12153_SERV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53_SERVOsoft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Em reconhecimento ao suporte, a B&amp;R oferece aos desenvolvedores que projetam sistemas de acionamento usando o SERVOsoft, a empresa de software canadense ControlEng autorizou a B&amp;R a exibir o selo QSP de qualidade.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