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Woojin revolutionizes its machines with B&amp;R</w:t>
      </w:r>
    </w:p>
    <w:p>
      <w:pPr>
        <w:pStyle w:val="label-first"/>
        <w:keepNext/>
        <w:ind w:left="0"/>
      </w:pPr>
      <w:r>
        <w:rPr>
          <w:b/>
          <w:sz w:val="20"/>
        </w:rPr>
        <w:t xml:space="preserve">Both companies to present innovations at K 2013</w:t>
      </w:r>
    </w:p>
    <w:p>
      <w:pPr>
        <w:pStyle w:val="par-first"/>
        <w:ind w:left="0"/>
        <w:jc w:val="left"/>
      </w:pPr>
      <w:r>
        <w:rPr>
          <w:i/>
          <w:i/>
        </w:rPr>
        <w:t xml:space="preserve">Upgrading to B&amp;R servo technology and POWERLINK communication has allowed Woojin to optimize speed and precision on three different lines of injection molding machines. In October, B&amp;R and Woojin will be presenting these and other innovations at the world’s leading exhibition for plastics and rubber, the K 2013 trade fair in Dusseldorf, Germany.  </w:t>
      </w:r>
    </w:p>
    <w:p>
      <w:pPr>
        <w:pStyle w:val="par"/>
        <w:ind w:left="0"/>
      </w:pPr>
      <w:r>
        <w:rPr/>
        <w:t xml:space="preserve">"The key to injection molding is to maximize both speed and precision without sacrificing either," says Injun Jung, R&amp;D Director at Woojin. "State-of-the-art decentralized servo technology from B&amp;R gives us the control we need to perfectly synchronize multi-axis tasks and achieve a highly responsive injection process, while the POWERLINK network allows individual slave axes to exchange data directly at very high speeds and with excellent precision."  </w:t>
      </w:r>
    </w:p>
    <w:p>
      <w:pPr>
        <w:pStyle w:val="par"/>
        <w:ind w:left="0"/>
      </w:pPr>
      <w:r>
        <w:rPr/>
        <w:t xml:space="preserve">Woojin was able to boost energy efficiency and significantly lower noise from its hydraulic injection molding machines using servo pump technology from B&amp;R. B&amp;R servo pumps can also be found on Woojin’s two-platen machines. These machines range from 450 to 3000 tons of clamping force, with a 3500 ton model to be available by the end of the year. Woojin has also upgraded its fully electric TN250E machine with a new toggle mechanism to optimize pressure and added three servo motors on the injection side to achieve injection speeds of 1000 mm/sec. This new solution has created 10% more space between the platen without increasing the machine’s overall dimensions. The entire injection drive system, including the controller, is sourced on a turn-key basis from global automation leader B&amp;R.  </w:t>
      </w:r>
    </w:p>
    <w:p>
      <w:pPr>
        <w:pStyle w:val="par"/>
        <w:ind w:left="0"/>
      </w:pPr>
      <w:r>
        <w:rPr/>
        <w:t xml:space="preserve">Woojin introduced its new machines based on B&amp;R technology at KOPLAS 2013 with resounding success. Both companies are now looking forward to presenting their latest innovations for the plastics industry at the K 2013 fair in Dusseldorf. </w:t>
      </w:r>
    </w:p>
    <w:p/>
    <w:bookmarkStart w:id="6" w:name="_XREFN1005C"/>
    <w:bookmarkStart w:id="7" w:name="_XREFN10061"/>
    <w:p>
      <w:pPr>
        <w:keepNext/>
        <w:spacing w:after="20" w:before="0"/>
        <w:ind w:left="0"/>
      </w:pPr>
      <w:r>
        <w:drawing>
          <wp:inline xmlns:wp="http://schemas.openxmlformats.org/drawingml/2006/wordprocessingDrawing" distB="0" distL="0" distR="0" distT="0">
            <wp:extent cx="3600000" cy="2025954"/>
            <wp:effectExtent b="0" l="0" r="0" t="0"/>
            <wp:docPr id="1" name="BuR_PR13070_Woo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070_Woojin"/>
                    <pic:cNvPicPr/>
                  </pic:nvPicPr>
                  <pic:blipFill>
                    <a:blip xmlns:r="http://schemas.openxmlformats.org/officeDocument/2006/relationships" cstate="print" r:embed="N10384"/>
                    <a:stretch>
                      <a:fillRect/>
                    </a:stretch>
                  </pic:blipFill>
                  <pic:spPr>
                    <a:xfrm>
                      <a:off x="0" y="0"/>
                      <a:ext cx="3600000" cy="2025954"/>
                    </a:xfrm>
                    <a:prstGeom prst="rect">
                      <a:avLst/>
                    </a:prstGeom>
                  </pic:spPr>
                </pic:pic>
              </a:graphicData>
            </a:graphic>
          </wp:inline>
        </w:drawing>
      </w:r>
    </w:p>
    <w:p>
      <w:pPr>
        <w:pStyle w:val="media-caption"/>
        <w:ind w:left="0"/>
      </w:pPr>
      <w:r>
        <w:t xml:space="preserve">“The key to injection molding is to maximize both speed and precision without sacrificing either,” states Injun Jung, R&amp;D Director at Woojin.</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