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Controller-Redundanz mit POWERLINK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Hochverfügbare Systeme mit Standard-Komponenten umgesetzt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seiner Redundanzlösung für das Steuerungssystem X20 setzt B&amp;R neue Maßstäbe: Hochverfügbarkeit ist ab sofort auch für kleinere Anwendungen mit geringeren Ausfallkosten attraktiv und wirtschaftlich. Die Basis der B&amp;R-Lösung bilden Standardsteuerungen der X20-Reihe, die eine nachträgliche Konfiguration der Ausfallsicherheit im Engineering Tool Automation Studio ermöglichen. Eigene, wegen der geringeren Stückzahl meist teurere, spezielle Redundanzsteuerungen sind nicht nötig. Der Engineering-Aufwand beschränkt sich auf die Deklaration der SPS als redundante Einheit sowie auf zusätzliche Eingaben zur Konfiguration von Kommunikationsparametern oder Ausfallkriterien.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Wenige Millisekunden Umschaltzeit</w:t>
      </w:r>
    </w:p>
    <w:p>
      <w:pPr>
        <w:pStyle w:val="par"/>
        <w:ind w:left="0"/>
      </w:pPr>
      <w:r>
        <w:rPr/>
        <w:t xml:space="preserve">In der von B&amp;R gewählten Lösung dient eine Steuerung als prozessführende aktive SPS, die andere läuft im inaktiven Modus. Eine kontinuierliche Überwachung aller Netzwerkfunktionen stellt sicher, dass die nicht-prozessführende Steuerung im Ernstfall ad hoc die Funktion der aktiven SPS übernehmen kann. Die jeweils aktive Steuerung trägt immer dieselbe IP-Adresse. Die Umschaltzeit des Systems beträgt zwei Taskzyklen – also nur wenige Millisekunden.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Mit POWERLINK taktaktuell auf identischem Stand</w:t>
      </w:r>
    </w:p>
    <w:p>
      <w:pPr>
        <w:pStyle w:val="par"/>
        <w:ind w:left="0"/>
      </w:pPr>
      <w:r>
        <w:rPr/>
        <w:t xml:space="preserve">Die Redundanzlösung nutzt als Kommunikationsprotokoll das hochperformante Echtzeit-Ethernet POWERLINK. Durch einen unabhängigen, schnellen LWL-Redundanz-Link tauschen die aktive und die inaktive Steuerung ständig alle wesentlichen Daten – zum Beispiel I/O-Abbild – aus, um taktaktuell auf identischem Stand zu sein.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2032"/>
            <wp:effectExtent b="0" l="0" r="0" t="0"/>
            <wp:docPr id="1" name="BuR_Redund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Redundanz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ermöglicht den Aufbau hochverfügbarer Systeme mit Standard-Komponenten, Redundanz wird dadurch auch für kleinere Anwendungen mit geringeren Ausfallkosten erschwinglich.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