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Redondance d'automates avec POWERLINK</w:t>
      </w:r>
    </w:p>
    <w:p>
      <w:pPr>
        <w:pStyle w:val="label-first"/>
        <w:keepNext/>
        <w:ind w:left="0"/>
      </w:pPr>
      <w:r>
        <w:rPr>
          <w:b/>
          <w:sz w:val="20"/>
        </w:rPr>
        <w:t xml:space="preserve">Mettre en œuvre des systèmes à haute disponibilité avec des composants standard</w:t>
      </w:r>
    </w:p>
    <w:p>
      <w:pPr>
        <w:pStyle w:val="par-first"/>
        <w:ind w:left="0"/>
        <w:jc w:val="left"/>
      </w:pPr>
      <w:r>
        <w:rPr>
          <w:i/>
          <w:i/>
        </w:rPr>
        <w:t xml:space="preserve">Avec sa solution de redondance pour systèmes de contrôle X20, B&amp;R définit de nouveaux standards en faisant de la haute disponibilité une fonctionnalité économiquement accessible, même pour les machines de petite taille. La solution de B&amp;R est basée sur des automates X20 dont les fonctionnalités de redondance peuvent être activées à tout moment via l'environnement de développement logiciel Automation Studio. Ceci permet de s'affranchir des automates redondants spécialisés, généralement très coûteux en raison des faibles quantités produites. Le travail d'ingénierie se réduit à la déclaration de l'automate comme unité redondante et à la configuration des paramètres de communication ou des critères de défaut.</w:t>
      </w:r>
    </w:p>
    <w:p>
      <w:pPr>
        <w:pStyle w:val="label"/>
        <w:keepNext/>
        <w:ind w:left="0"/>
      </w:pPr>
      <w:r>
        <w:rPr>
          <w:b/>
          <w:sz w:val="20"/>
        </w:rPr>
        <w:t xml:space="preserve">Basculement en quelques millisecondes seulement</w:t>
      </w:r>
    </w:p>
    <w:p>
      <w:pPr>
        <w:pStyle w:val="par"/>
        <w:ind w:left="0"/>
      </w:pPr>
      <w:r>
        <w:rPr/>
        <w:t xml:space="preserve">Dans la solution de B&amp;R, l’un des deux processeurs effectue un contrôle actif, tandis que l’autre fonctionne en arrière-plan en mode standby. Toutes les fonctions réseaux sont surveillées en permanence, si bien que le processeur de récupération, le moment venu, prend rapidement la main sur toutes les fonctions actives. L'automate qui devient actif utilise toujours la même adresse IP que son prédécesseur. Le temps de basculement du système correspond à deux cycles de tâches, soit quelques millisecondes seulement.</w:t>
      </w:r>
    </w:p>
    <w:p>
      <w:pPr>
        <w:pStyle w:val="label"/>
        <w:keepNext/>
        <w:ind w:left="0"/>
      </w:pPr>
      <w:r>
        <w:rPr>
          <w:b/>
          <w:sz w:val="20"/>
        </w:rPr>
        <w:t xml:space="preserve">Parfaite synchronisation avec POWERLINK</w:t>
      </w:r>
    </w:p>
    <w:p>
      <w:pPr>
        <w:pStyle w:val="par"/>
        <w:ind w:left="0"/>
      </w:pPr>
      <w:r>
        <w:rPr/>
        <w:t xml:space="preserve">Cette solution repose sur le protocole de communication haute performance et temps réel Ethernet POWERLINK. Une liaison indépendante à fibre optique assure la synchronisation continue de toutes les données importantes – l'image des E/S, par exemple – entre l'automate actif et l'automate inactif.</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2402032"/>
            <wp:effectExtent b="0" l="0" r="0" t="0"/>
            <wp:docPr id="1" name="BuR_Redund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dundanz"/>
                    <pic:cNvPicPr/>
                  </pic:nvPicPr>
                  <pic:blipFill>
                    <a:blip xmlns:r="http://schemas.openxmlformats.org/officeDocument/2006/relationships" cstate="print" r:embed="N103A1"/>
                    <a:stretch>
                      <a:fillRect/>
                    </a:stretch>
                  </pic:blipFill>
                  <pic:spPr>
                    <a:xfrm>
                      <a:off x="0" y="0"/>
                      <a:ext cx="3600000" cy="2402032"/>
                    </a:xfrm>
                    <a:prstGeom prst="rect">
                      <a:avLst/>
                    </a:prstGeom>
                  </pic:spPr>
                </pic:pic>
              </a:graphicData>
            </a:graphic>
          </wp:inline>
        </w:drawing>
      </w:r>
    </w:p>
    <w:p>
      <w:pPr>
        <w:pStyle w:val="media-caption"/>
        <w:ind w:left="0"/>
      </w:pPr>
      <w:r>
        <w:t xml:space="preserve">B&amp;R permet de concevoir des systèmes à haute disponibilité avec des composants standard, rendant ainsi la redondance économiquement accessible pour des applications de moindre grande envergure. Au coût réduit de la solution s'ajoutent les économies liées à la réduction des arrêts d'exploitation.</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