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Redundância do controlador com POWERLINK</w:t>
      </w:r>
    </w:p>
    <w:p>
      <w:pPr>
        <w:pStyle w:val="label-first"/>
        <w:keepNext/>
        <w:ind w:left="0"/>
      </w:pPr>
      <w:r>
        <w:rPr>
          <w:b/>
          <w:sz w:val="20"/>
        </w:rPr>
        <w:t xml:space="preserve">Implementando sistemas de alta disponibilidade com componentes padrão</w:t>
      </w:r>
    </w:p>
    <w:p>
      <w:pPr>
        <w:pStyle w:val="par-first"/>
        <w:ind w:left="0"/>
        <w:jc w:val="left"/>
      </w:pPr>
      <w:r>
        <w:rPr>
          <w:i/>
          <w:i/>
        </w:rPr>
        <w:t xml:space="preserve">A B&amp;R está estabelecendo novos padrões com sua solução de redundância para sistemas de controle X20, um avanço que agora permite que as vantagens da alta disponibilidade sejam apreciadas por aplicativos menores com muito menos custo. A solução da B&amp;R baseia-se em controladores X20 padrão que podem ser reconfigurados a qualquer momento com recursos que reduzem o tempo de inatividade usando o ambiente de desenvolvimento de software do Automation Studio. Isso elimina a necessidade de controladores de redundância especializados, que geralmente são muito caros devido às pequenas quantidades produzidas. O esforço de engenharia é reduzido para declarar o CLP uma unidade redundante e configurar parâmetros de comunicação ou critérios de falha.</w:t>
      </w:r>
    </w:p>
    <w:p>
      <w:pPr>
        <w:pStyle w:val="label"/>
        <w:keepNext/>
        <w:ind w:left="0"/>
      </w:pPr>
      <w:r>
        <w:rPr>
          <w:b/>
          <w:sz w:val="20"/>
        </w:rPr>
        <w:t xml:space="preserve">Alternando em questão de milissegundos</w:t>
      </w:r>
    </w:p>
    <w:p>
      <w:pPr>
        <w:pStyle w:val="par"/>
        <w:ind w:left="0"/>
      </w:pPr>
      <w:r>
        <w:rPr/>
        <w:t xml:space="preserve">Com a solução do B&amp;R, um controlador fornece controle ativo, enquanto um segundo controlador é executado em segundo plano no modo de espera. Todas as funções de rede são monitoradas continuamente de modo que, quando chegar a hora, o controlador de backup pode assumir rapidamente todas as funções do CLP ativo. Qualquer que seja o controlador ativo, sempre usa o mesmo endereço IP que o antecessor. O tempo de comutação do sistema é apenas dois ciclos de tarefa - então tudo isso ocorre em questão de alguns milissegundos.</w:t>
      </w:r>
    </w:p>
    <w:p>
      <w:pPr>
        <w:pStyle w:val="label"/>
        <w:keepNext/>
        <w:ind w:left="0"/>
      </w:pPr>
      <w:r>
        <w:rPr>
          <w:b/>
          <w:sz w:val="20"/>
        </w:rPr>
        <w:t xml:space="preserve">Perfeitamente sincronizado com POWERLINK</w:t>
      </w:r>
    </w:p>
    <w:p>
      <w:pPr>
        <w:pStyle w:val="par"/>
        <w:ind w:left="0"/>
      </w:pPr>
      <w:r>
        <w:rPr/>
        <w:t xml:space="preserve">Esta solução de redundância é alimentada pelo protocolo de comunicação Ethernet POWERLINK de alto desempenho em tempo real. Um link independente de redundância de fibra óptica de alta velocidade é usado para sincronizar continuamente todos os dados importantes - a imagem de I/O, por exemplo - entre os controladores ativos e inativos.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A B&amp;R permite conceber sistemas de alta disponibilidade usando componentes padrão, tornando a redundância acessível para aplicativos menores com menores custos de tempo de inatividade.</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