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Резервирование контроллера с использованием POWERLINK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Реализация систем с высокой отказоустойчивостью с использованием стандартных компонентов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устанавливает новые стандарты своим решением для резервирования систем управления X20, крупным достижением, позволяющим использовать преимущества высокой отказоустойчивости в приложениях меньшего масштаба при меньшей стоимости. Решение B&amp;R основано на стандартных контроллерах X20, которые можно перенастроить в любое время, используя среду разработки Automation Studio, что сокращает время простоя. Это позволяет отказаться от специализированных контроллеров резервирования, которые обычно очень дороги из-за выпуска малыми партиями. Объем инженерного труда сокращается: требуется лишь объявить ПЛК резервным и настроить параметры связи или критерии отказа.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Переключение в пределах миллисекунд</w:t>
      </w:r>
    </w:p>
    <w:p>
      <w:pPr>
        <w:pStyle w:val="par"/>
        <w:ind w:left="0"/>
      </w:pPr>
      <w:r>
        <w:rPr/>
        <w:t xml:space="preserve">В решении B&amp;R один контроллер обеспечивает активное управление, в то время как второй контроллер работает в ждущем режиме. Постоянно контролируются все сетевые функции, поэтому резервный контроллер может быстро переключить все активные функции ПЛК на себя. При активации контроллер использует тот же IP-адрес, что и его предшественник. Время переключения системы занимает два цикла задач – все это занимает несколько миллисекунд.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Идеальная синхронизация с POWERLINK</w:t>
      </w:r>
    </w:p>
    <w:p>
      <w:pPr>
        <w:pStyle w:val="par"/>
        <w:ind w:left="0"/>
      </w:pPr>
      <w:r>
        <w:rPr/>
        <w:t xml:space="preserve">Это решение резервирования основано на высокопроизводительном коммуникационном протоколе реального времени Ethernet POWERLINK. Независимый высокоскоростной оптоволоконный резервный канал связи используется для постоянной синхронизации всех важных данных – образа ввода/вывода, например – между активными и неактивными контроллерами. </w:t>
      </w:r>
    </w:p>
    <w:p/>
    <w:bookmarkStart w:id="5" w:name="_XREFN1005C"/>
    <w:bookmarkStart w:id="6" w:name="_XREFN10061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2032"/>
            <wp:effectExtent b="0" l="0" r="0" t="0"/>
            <wp:docPr id="1" name="BuR_Redunda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Redundanz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обеспечивает возможность разработки систем с высокой отказоустойчивостью, используя стандартные компоненты, что делает доступным резервирование для приложений меньшего масштаба с более низкими издержками от простоя.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