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Приглашаем Вас посетить стенд нашей компании на выставке Газ. Нефть. Технологии - 2013 в г. Уфе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Дата проведения: 21.05.2013 - 24.05.2013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нашем стенде Вы сможете познакомиться с новинками продукции: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ПЛК и модули ввода/вывода серии X20 с расширенным температурным диапазоном работы (от минус 40 °C до +80 °C);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Новая линейка промышленных ПК и панельных ПК для АРМ и серверов на базе процессоров Intel CORE I;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Системы резервирования ЦПУ  - Система контроля и учета энергоресурсов</w:t>
      </w:r>
    </w:p>
    <w:p>
      <w:pPr>
        <w:pStyle w:val="par"/>
        <w:ind w:left="0"/>
      </w:pPr>
      <w:r>
        <w:rPr/>
        <w:t xml:space="preserve">Выставка пройдет в Уфе в выставочном комплексе "Уфа-Арена".</w:t>
      </w:r>
    </w:p>
    <w:p>
      <w:pPr>
        <w:pStyle w:val="par"/>
        <w:ind w:left="0"/>
      </w:pPr>
      <w:r>
        <w:rPr/>
        <w:t xml:space="preserve">Время работы выставки:  </w:t>
      </w:r>
    </w:p>
    <w:bookmarkStart w:id="5" w:name="_XREFN100E0"/>
    <w:tbl>
      <w:tblPr>
        <w:tblW w:type="dxa" w:w="3372"/>
        <w:tblInd w:type="dxa" w:w="0"/>
        <w:tblLayout w:type="fixed"/>
      </w:tblPr>
      <w:tblGrid>
        <w:gridCol w:w="963"/>
        <w:gridCol w:w="2409"/>
      </w:tblGrid>
      <w:tr>
        <w:trPr/>
        <w:tc>
          <w:tcPr>
            <w:tcW w:type="dxa" w:w="963"/>
            <w:tcMar>
              <w:left w:type="dxa" w:w="0"/>
              <w:right w:type="dxa" w:w="0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21 мая 2013: </w:t>
            </w:r>
          </w:p>
        </w:tc>
        <w:tc>
          <w:tcPr>
            <w:tcW w:type="dxa" w:w="2409"/>
            <w:tcMar>
              <w:left w:type="dxa" w:w="0"/>
              <w:right w:type="dxa" w:w="0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10:00 – 17:30</w:t>
            </w:r>
          </w:p>
        </w:tc>
      </w:tr>
      <w:tr>
        <w:trPr/>
        <w:tc>
          <w:tcPr>
            <w:tcW w:type="dxa" w:w="963"/>
            <w:tcMar>
              <w:left w:type="dxa" w:w="0"/>
              <w:right w:type="dxa" w:w="0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22-23 мая 2013: </w:t>
            </w:r>
          </w:p>
        </w:tc>
        <w:tc>
          <w:tcPr>
            <w:tcW w:type="dxa" w:w="2409"/>
            <w:tcMar>
              <w:left w:type="dxa" w:w="0"/>
              <w:right w:type="dxa" w:w="0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10:00 – 18:00</w:t>
            </w:r>
          </w:p>
        </w:tc>
      </w:tr>
      <w:tr>
        <w:trPr/>
        <w:tc>
          <w:tcPr>
            <w:tcW w:type="dxa" w:w="963"/>
            <w:tcMar>
              <w:left w:type="dxa" w:w="0"/>
              <w:right w:type="dxa" w:w="0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24 мая 2013:	 </w:t>
            </w:r>
          </w:p>
        </w:tc>
        <w:tc>
          <w:tcPr>
            <w:tcW w:type="dxa" w:w="2409"/>
            <w:tcMar>
              <w:left w:type="dxa" w:w="0"/>
              <w:right w:type="dxa" w:w="0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  10:00 – 16:00</w:t>
            </w:r>
          </w:p>
        </w:tc>
      </w:tr>
    </w:tbl>
    <w:bookmarkEnd w:id="5"/>
    <w:p>
      <w:pPr>
        <w:pStyle w:val="par"/>
        <w:ind w:left="0"/>
      </w:pPr>
      <w:r>
        <w:rPr/>
        <w:t xml:space="preserve">Наш стенд будет располагаться в 3-м павильоне, № стенда - 174.</w:t>
      </w:r>
    </w:p>
    <w:p>
      <w:pPr>
        <w:pStyle w:val="par"/>
        <w:ind w:left="0"/>
      </w:pPr>
      <w:r>
        <w:rPr/>
        <w:t xml:space="preserve">Бесплатные пригласительные билеты Вы можете получить на сайте выставки по адресу:  www.gntexpo.ru  </w:t>
      </w:r>
    </w:p>
    <w:p>
      <w:pPr>
        <w:pStyle w:val="par"/>
        <w:ind w:left="0"/>
      </w:pPr>
      <w:r>
        <w:rPr/>
        <w:t xml:space="preserve">Будем рады видеть Вас на нашем стенде!</w:t>
      </w:r>
    </w:p>
    <w:p>
      <w:pPr>
        <w:pStyle w:val="par"/>
        <w:ind w:left="0"/>
      </w:pPr>
      <w:r>
        <w:rPr/>
        <w:t xml:space="preserve">Приходите, будет интересно.</w:t>
      </w:r>
    </w:p>
    <w:p/>
    <w:bookmarkStart w:id="16" w:name="_XREFN10048"/>
    <w:bookmarkStart w:id="17" w:name="_XREFN1004D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828947"/>
            <wp:effectExtent b="0" l="0" r="0" t="0"/>
            <wp:docPr id="1" name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"/>
                    <pic:cNvPicPr/>
                  </pic:nvPicPr>
                  <pic:blipFill>
                    <a:blip xmlns:r="http://schemas.openxmlformats.org/officeDocument/2006/relationships" cstate="print" r:embed="N104F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82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7"/>
    <w:bookmarkEnd w:id="1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571" w:type="default"/>
      <w:footerReference xmlns:r="http://schemas.openxmlformats.org/officeDocument/2006/relationships" r:id="N1060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71" Target="header1.xml" Type="http://schemas.openxmlformats.org/officeDocument/2006/relationships/header"/><Relationship Id="N10605" Target="footer1.xml" Type="http://schemas.openxmlformats.org/officeDocument/2006/relationships/footer"/><Relationship Id="N104FB" Target="media/N104F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D8" Target="media/N105D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